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290C" w14:textId="77777777" w:rsidR="00C84269" w:rsidRPr="004C5FD3" w:rsidRDefault="00C84269" w:rsidP="004C5FD3">
      <w:pPr>
        <w:pStyle w:val="MDPI11articletype"/>
        <w:spacing w:before="120"/>
        <w:ind w:left="993"/>
        <w:rPr>
          <w:rFonts w:ascii="Times New Roman" w:hAnsi="Times New Roman"/>
          <w:sz w:val="24"/>
          <w:szCs w:val="24"/>
        </w:rPr>
      </w:pPr>
    </w:p>
    <w:p w14:paraId="5E931606" w14:textId="4567DD6A" w:rsidR="0074289F" w:rsidRPr="004C5FD3" w:rsidRDefault="0074289F" w:rsidP="004C5FD3">
      <w:pPr>
        <w:pStyle w:val="MDPI11articletype"/>
        <w:spacing w:before="120"/>
        <w:ind w:left="993"/>
        <w:rPr>
          <w:rFonts w:ascii="Times New Roman" w:hAnsi="Times New Roman"/>
          <w:sz w:val="24"/>
          <w:szCs w:val="24"/>
        </w:rPr>
      </w:pPr>
      <w:r w:rsidRPr="004C5FD3">
        <w:rPr>
          <w:rFonts w:ascii="Times New Roman" w:hAnsi="Times New Roman"/>
          <w:sz w:val="24"/>
          <w:szCs w:val="24"/>
        </w:rPr>
        <w:t xml:space="preserve">Type of the </w:t>
      </w:r>
      <w:r w:rsidR="00435279">
        <w:rPr>
          <w:rFonts w:ascii="Times New Roman" w:hAnsi="Times New Roman"/>
          <w:sz w:val="24"/>
          <w:szCs w:val="24"/>
        </w:rPr>
        <w:t>Article:</w:t>
      </w:r>
      <w:r w:rsidRPr="004C5FD3">
        <w:rPr>
          <w:rFonts w:ascii="Times New Roman" w:hAnsi="Times New Roman"/>
          <w:sz w:val="24"/>
          <w:szCs w:val="24"/>
        </w:rPr>
        <w:t xml:space="preserve"> (</w:t>
      </w:r>
      <w:r w:rsidR="00354200" w:rsidRPr="00354200">
        <w:rPr>
          <w:rFonts w:ascii="Times New Roman" w:hAnsi="Times New Roman"/>
          <w:sz w:val="24"/>
          <w:szCs w:val="24"/>
        </w:rPr>
        <w:t>Original research</w:t>
      </w:r>
      <w:r w:rsidR="00354200">
        <w:rPr>
          <w:rFonts w:ascii="Times New Roman" w:hAnsi="Times New Roman"/>
          <w:sz w:val="24"/>
          <w:szCs w:val="24"/>
        </w:rPr>
        <w:t>,</w:t>
      </w:r>
      <w:r w:rsidR="00354200" w:rsidRPr="00354200">
        <w:rPr>
          <w:rFonts w:ascii="Times New Roman" w:hAnsi="Times New Roman"/>
          <w:sz w:val="24"/>
          <w:szCs w:val="24"/>
        </w:rPr>
        <w:t xml:space="preserve"> Review article</w:t>
      </w:r>
      <w:r w:rsidR="00354200">
        <w:rPr>
          <w:rFonts w:ascii="Times New Roman" w:hAnsi="Times New Roman"/>
          <w:sz w:val="24"/>
          <w:szCs w:val="24"/>
        </w:rPr>
        <w:t>,</w:t>
      </w:r>
      <w:r w:rsidR="00354200" w:rsidRPr="00354200">
        <w:rPr>
          <w:rFonts w:ascii="Times New Roman" w:hAnsi="Times New Roman"/>
          <w:sz w:val="24"/>
          <w:szCs w:val="24"/>
        </w:rPr>
        <w:t xml:space="preserve"> </w:t>
      </w:r>
      <w:r w:rsidR="00354200">
        <w:rPr>
          <w:rFonts w:ascii="Times New Roman" w:hAnsi="Times New Roman"/>
          <w:sz w:val="24"/>
          <w:szCs w:val="24"/>
        </w:rPr>
        <w:t>Case</w:t>
      </w:r>
      <w:r w:rsidR="00354200" w:rsidRPr="00354200">
        <w:rPr>
          <w:rFonts w:ascii="Times New Roman" w:hAnsi="Times New Roman"/>
          <w:sz w:val="24"/>
          <w:szCs w:val="24"/>
        </w:rPr>
        <w:t xml:space="preserve"> study</w:t>
      </w:r>
      <w:r w:rsidR="00354200">
        <w:rPr>
          <w:rFonts w:ascii="Times New Roman" w:hAnsi="Times New Roman"/>
          <w:sz w:val="24"/>
          <w:szCs w:val="24"/>
        </w:rPr>
        <w:t>,</w:t>
      </w:r>
      <w:r w:rsidR="00354200" w:rsidRPr="00354200">
        <w:rPr>
          <w:rFonts w:ascii="Times New Roman" w:hAnsi="Times New Roman"/>
          <w:sz w:val="24"/>
          <w:szCs w:val="24"/>
        </w:rPr>
        <w:t xml:space="preserve"> Perspective</w:t>
      </w:r>
      <w:r w:rsidR="00354200">
        <w:rPr>
          <w:rFonts w:ascii="Times New Roman" w:hAnsi="Times New Roman"/>
          <w:sz w:val="24"/>
          <w:szCs w:val="24"/>
        </w:rPr>
        <w:t>,</w:t>
      </w:r>
      <w:r w:rsidR="00354200" w:rsidRPr="00354200">
        <w:rPr>
          <w:rFonts w:ascii="Times New Roman" w:hAnsi="Times New Roman"/>
          <w:sz w:val="24"/>
          <w:szCs w:val="24"/>
        </w:rPr>
        <w:t xml:space="preserve"> Book review</w:t>
      </w:r>
      <w:r w:rsidRPr="004C5FD3">
        <w:rPr>
          <w:rFonts w:ascii="Times New Roman" w:hAnsi="Times New Roman"/>
          <w:sz w:val="24"/>
          <w:szCs w:val="24"/>
        </w:rPr>
        <w:t>, etc.)</w:t>
      </w:r>
    </w:p>
    <w:p w14:paraId="2B73F661" w14:textId="77777777" w:rsidR="0074289F" w:rsidRPr="004C5FD3" w:rsidRDefault="0074289F" w:rsidP="004C5FD3">
      <w:pPr>
        <w:pStyle w:val="MDPI12title"/>
        <w:spacing w:before="120" w:line="240" w:lineRule="auto"/>
        <w:ind w:left="993"/>
        <w:rPr>
          <w:rFonts w:ascii="Times New Roman" w:hAnsi="Times New Roman"/>
          <w:sz w:val="24"/>
          <w:szCs w:val="24"/>
        </w:rPr>
      </w:pPr>
    </w:p>
    <w:p w14:paraId="0FB5374A" w14:textId="77777777" w:rsidR="00C84269" w:rsidRPr="004C5FD3" w:rsidRDefault="00C84269" w:rsidP="004C5FD3">
      <w:pPr>
        <w:spacing w:before="120" w:line="240" w:lineRule="auto"/>
        <w:rPr>
          <w:rFonts w:ascii="Times New Roman" w:hAnsi="Times New Roman"/>
          <w:sz w:val="24"/>
          <w:szCs w:val="24"/>
          <w:lang w:eastAsia="de-DE" w:bidi="en-US"/>
        </w:rPr>
      </w:pPr>
    </w:p>
    <w:p w14:paraId="4BC0DF5D" w14:textId="1A5B9CB9" w:rsidR="0074289F" w:rsidRPr="00435279" w:rsidRDefault="0074289F" w:rsidP="004C5FD3">
      <w:pPr>
        <w:pStyle w:val="MDPI12title"/>
        <w:spacing w:before="120" w:line="240" w:lineRule="auto"/>
        <w:ind w:left="993"/>
        <w:rPr>
          <w:rFonts w:ascii="Times New Roman" w:hAnsi="Times New Roman"/>
          <w:szCs w:val="36"/>
        </w:rPr>
      </w:pPr>
      <w:r w:rsidRPr="00435279">
        <w:rPr>
          <w:rFonts w:ascii="Times New Roman" w:hAnsi="Times New Roman"/>
          <w:szCs w:val="36"/>
        </w:rPr>
        <w:t>Article Title</w:t>
      </w:r>
    </w:p>
    <w:p w14:paraId="44AD63FF" w14:textId="77777777" w:rsidR="0074289F" w:rsidRPr="004C5FD3" w:rsidRDefault="0074289F" w:rsidP="004C5FD3">
      <w:pPr>
        <w:pStyle w:val="MDPI13authornames"/>
        <w:spacing w:before="120" w:line="240" w:lineRule="auto"/>
        <w:ind w:left="993"/>
        <w:rPr>
          <w:rFonts w:ascii="Times New Roman" w:hAnsi="Times New Roman"/>
          <w:sz w:val="24"/>
          <w:szCs w:val="24"/>
        </w:rPr>
      </w:pPr>
    </w:p>
    <w:p w14:paraId="7B9CBE61" w14:textId="77777777" w:rsidR="00C84269" w:rsidRPr="004C5FD3" w:rsidRDefault="00C84269" w:rsidP="004C5FD3">
      <w:pPr>
        <w:spacing w:before="120" w:line="240" w:lineRule="auto"/>
        <w:rPr>
          <w:rFonts w:ascii="Times New Roman" w:hAnsi="Times New Roman"/>
          <w:sz w:val="24"/>
          <w:szCs w:val="24"/>
          <w:lang w:eastAsia="de-DE" w:bidi="en-US"/>
        </w:rPr>
      </w:pPr>
    </w:p>
    <w:p w14:paraId="4145BDF0" w14:textId="40559773" w:rsidR="0074289F" w:rsidRPr="004C5FD3" w:rsidRDefault="0074289F" w:rsidP="004C5FD3">
      <w:pPr>
        <w:pStyle w:val="MDPI13authornames"/>
        <w:spacing w:before="120" w:line="240" w:lineRule="auto"/>
        <w:ind w:left="993"/>
        <w:rPr>
          <w:rFonts w:ascii="Times New Roman" w:hAnsi="Times New Roman"/>
          <w:sz w:val="24"/>
          <w:szCs w:val="24"/>
        </w:rPr>
      </w:pPr>
      <w:r w:rsidRPr="004C5FD3">
        <w:rPr>
          <w:rFonts w:ascii="Times New Roman" w:hAnsi="Times New Roman"/>
          <w:sz w:val="24"/>
          <w:szCs w:val="24"/>
        </w:rPr>
        <w:t xml:space="preserve">Author </w:t>
      </w:r>
      <w:proofErr w:type="spellStart"/>
      <w:r w:rsidRPr="004C5FD3">
        <w:rPr>
          <w:rFonts w:ascii="Times New Roman" w:hAnsi="Times New Roman"/>
          <w:sz w:val="24"/>
          <w:szCs w:val="24"/>
        </w:rPr>
        <w:t>Firstname</w:t>
      </w:r>
      <w:proofErr w:type="spellEnd"/>
      <w:r w:rsidRPr="004C5FD3">
        <w:rPr>
          <w:rFonts w:ascii="Times New Roman" w:hAnsi="Times New Roman"/>
          <w:sz w:val="24"/>
          <w:szCs w:val="24"/>
        </w:rPr>
        <w:t xml:space="preserve"> </w:t>
      </w:r>
      <w:proofErr w:type="spellStart"/>
      <w:r w:rsidRPr="004C5FD3">
        <w:rPr>
          <w:rFonts w:ascii="Times New Roman" w:hAnsi="Times New Roman"/>
          <w:sz w:val="24"/>
          <w:szCs w:val="24"/>
        </w:rPr>
        <w:t>Lastname</w:t>
      </w:r>
      <w:proofErr w:type="spellEnd"/>
      <w:r w:rsidRPr="004C5FD3">
        <w:rPr>
          <w:rFonts w:ascii="Times New Roman" w:hAnsi="Times New Roman"/>
          <w:sz w:val="24"/>
          <w:szCs w:val="24"/>
        </w:rPr>
        <w:t xml:space="preserve"> </w:t>
      </w:r>
      <w:r w:rsidRPr="004C5FD3">
        <w:rPr>
          <w:rFonts w:ascii="Times New Roman" w:hAnsi="Times New Roman"/>
          <w:sz w:val="24"/>
          <w:szCs w:val="24"/>
          <w:vertAlign w:val="superscript"/>
        </w:rPr>
        <w:t>1</w:t>
      </w:r>
      <w:r w:rsidRPr="004C5FD3">
        <w:rPr>
          <w:rFonts w:ascii="Times New Roman" w:hAnsi="Times New Roman"/>
          <w:sz w:val="24"/>
          <w:szCs w:val="24"/>
        </w:rPr>
        <w:t xml:space="preserve">, </w:t>
      </w:r>
      <w:proofErr w:type="spellStart"/>
      <w:r w:rsidRPr="004C5FD3">
        <w:rPr>
          <w:rFonts w:ascii="Times New Roman" w:hAnsi="Times New Roman"/>
          <w:sz w:val="24"/>
          <w:szCs w:val="24"/>
        </w:rPr>
        <w:t>Firstname</w:t>
      </w:r>
      <w:proofErr w:type="spellEnd"/>
      <w:r w:rsidRPr="004C5FD3">
        <w:rPr>
          <w:rFonts w:ascii="Times New Roman" w:hAnsi="Times New Roman"/>
          <w:sz w:val="24"/>
          <w:szCs w:val="24"/>
        </w:rPr>
        <w:t xml:space="preserve"> </w:t>
      </w:r>
      <w:proofErr w:type="spellStart"/>
      <w:r w:rsidRPr="004C5FD3">
        <w:rPr>
          <w:rFonts w:ascii="Times New Roman" w:hAnsi="Times New Roman"/>
          <w:sz w:val="24"/>
          <w:szCs w:val="24"/>
        </w:rPr>
        <w:t>Lastname</w:t>
      </w:r>
      <w:proofErr w:type="spellEnd"/>
      <w:r w:rsidRPr="004C5FD3">
        <w:rPr>
          <w:rFonts w:ascii="Times New Roman" w:hAnsi="Times New Roman"/>
          <w:sz w:val="24"/>
          <w:szCs w:val="24"/>
        </w:rPr>
        <w:t xml:space="preserve"> </w:t>
      </w:r>
      <w:r w:rsidRPr="004C5FD3">
        <w:rPr>
          <w:rFonts w:ascii="Times New Roman" w:hAnsi="Times New Roman"/>
          <w:sz w:val="24"/>
          <w:szCs w:val="24"/>
          <w:vertAlign w:val="superscript"/>
        </w:rPr>
        <w:t>2</w:t>
      </w:r>
      <w:r w:rsidRPr="004C5FD3">
        <w:rPr>
          <w:rFonts w:ascii="Times New Roman" w:hAnsi="Times New Roman"/>
          <w:sz w:val="24"/>
          <w:szCs w:val="24"/>
        </w:rPr>
        <w:t xml:space="preserve"> and </w:t>
      </w:r>
      <w:proofErr w:type="spellStart"/>
      <w:r w:rsidRPr="004C5FD3">
        <w:rPr>
          <w:rFonts w:ascii="Times New Roman" w:hAnsi="Times New Roman"/>
          <w:sz w:val="24"/>
          <w:szCs w:val="24"/>
        </w:rPr>
        <w:t>Firstname</w:t>
      </w:r>
      <w:proofErr w:type="spellEnd"/>
      <w:r w:rsidRPr="004C5FD3">
        <w:rPr>
          <w:rFonts w:ascii="Times New Roman" w:hAnsi="Times New Roman"/>
          <w:sz w:val="24"/>
          <w:szCs w:val="24"/>
        </w:rPr>
        <w:t xml:space="preserve"> </w:t>
      </w:r>
      <w:proofErr w:type="spellStart"/>
      <w:r w:rsidRPr="004C5FD3">
        <w:rPr>
          <w:rFonts w:ascii="Times New Roman" w:hAnsi="Times New Roman"/>
          <w:sz w:val="24"/>
          <w:szCs w:val="24"/>
        </w:rPr>
        <w:t>Lastname</w:t>
      </w:r>
      <w:proofErr w:type="spellEnd"/>
      <w:r w:rsidRPr="004C5FD3">
        <w:rPr>
          <w:rFonts w:ascii="Times New Roman" w:hAnsi="Times New Roman"/>
          <w:sz w:val="24"/>
          <w:szCs w:val="24"/>
        </w:rPr>
        <w:t xml:space="preserve"> </w:t>
      </w:r>
      <w:proofErr w:type="gramStart"/>
      <w:r w:rsidRPr="004C5FD3">
        <w:rPr>
          <w:rFonts w:ascii="Times New Roman" w:hAnsi="Times New Roman"/>
          <w:sz w:val="24"/>
          <w:szCs w:val="24"/>
          <w:vertAlign w:val="superscript"/>
        </w:rPr>
        <w:t>2,</w:t>
      </w:r>
      <w:r w:rsidRPr="004C5FD3">
        <w:rPr>
          <w:rFonts w:ascii="Times New Roman" w:hAnsi="Times New Roman"/>
          <w:sz w:val="24"/>
          <w:szCs w:val="24"/>
        </w:rPr>
        <w:t>*</w:t>
      </w:r>
      <w:proofErr w:type="gramEnd"/>
    </w:p>
    <w:p w14:paraId="1255FC1D" w14:textId="77777777" w:rsidR="00C84269" w:rsidRPr="004C5FD3" w:rsidRDefault="00C84269" w:rsidP="004C5FD3">
      <w:pPr>
        <w:spacing w:before="120" w:line="240" w:lineRule="auto"/>
        <w:rPr>
          <w:rFonts w:ascii="Times New Roman" w:hAnsi="Times New Roman"/>
          <w:sz w:val="24"/>
          <w:szCs w:val="24"/>
          <w:lang w:eastAsia="de-DE" w:bidi="en-US"/>
        </w:rPr>
      </w:pPr>
    </w:p>
    <w:p w14:paraId="3F2FF342" w14:textId="388B8DA5" w:rsidR="0074289F" w:rsidRPr="004C5FD3" w:rsidRDefault="0074289F" w:rsidP="004C5FD3">
      <w:pPr>
        <w:pStyle w:val="MDPI16affiliation"/>
        <w:spacing w:before="120" w:line="240" w:lineRule="auto"/>
        <w:ind w:left="993"/>
        <w:rPr>
          <w:rFonts w:ascii="Times New Roman" w:hAnsi="Times New Roman"/>
          <w:sz w:val="24"/>
          <w:szCs w:val="24"/>
        </w:rPr>
      </w:pPr>
      <w:r w:rsidRPr="004C5FD3">
        <w:rPr>
          <w:rFonts w:ascii="Times New Roman" w:hAnsi="Times New Roman"/>
          <w:sz w:val="24"/>
          <w:szCs w:val="24"/>
          <w:vertAlign w:val="superscript"/>
        </w:rPr>
        <w:t>1</w:t>
      </w:r>
      <w:r w:rsidRPr="004C5FD3">
        <w:rPr>
          <w:rFonts w:ascii="Times New Roman" w:hAnsi="Times New Roman"/>
          <w:sz w:val="24"/>
          <w:szCs w:val="24"/>
        </w:rPr>
        <w:tab/>
        <w:t xml:space="preserve">Affiliation 1; </w:t>
      </w:r>
      <w:r w:rsidR="00435279" w:rsidRPr="00435279">
        <w:rPr>
          <w:rFonts w:ascii="Times New Roman" w:hAnsi="Times New Roman"/>
          <w:sz w:val="24"/>
          <w:szCs w:val="24"/>
        </w:rPr>
        <w:t>e-mail@e-mail.com</w:t>
      </w:r>
      <w:r w:rsidR="00435279">
        <w:rPr>
          <w:rFonts w:ascii="Times New Roman" w:hAnsi="Times New Roman"/>
          <w:sz w:val="24"/>
          <w:szCs w:val="24"/>
        </w:rPr>
        <w:t>, ORCID</w:t>
      </w:r>
    </w:p>
    <w:p w14:paraId="2D94045E" w14:textId="38372FDC" w:rsidR="0074289F" w:rsidRPr="004C5FD3" w:rsidRDefault="0074289F" w:rsidP="004C5FD3">
      <w:pPr>
        <w:pStyle w:val="MDPI16affiliation"/>
        <w:spacing w:before="120" w:line="240" w:lineRule="auto"/>
        <w:ind w:left="993"/>
        <w:rPr>
          <w:rFonts w:ascii="Times New Roman" w:hAnsi="Times New Roman"/>
          <w:sz w:val="24"/>
          <w:szCs w:val="24"/>
        </w:rPr>
      </w:pPr>
      <w:r w:rsidRPr="004C5FD3">
        <w:rPr>
          <w:rFonts w:ascii="Times New Roman" w:hAnsi="Times New Roman"/>
          <w:sz w:val="24"/>
          <w:szCs w:val="24"/>
          <w:vertAlign w:val="superscript"/>
        </w:rPr>
        <w:t>2</w:t>
      </w:r>
      <w:r w:rsidRPr="004C5FD3">
        <w:rPr>
          <w:rFonts w:ascii="Times New Roman" w:hAnsi="Times New Roman"/>
          <w:sz w:val="24"/>
          <w:szCs w:val="24"/>
        </w:rPr>
        <w:tab/>
        <w:t>Affiliation 2; e-mail@e-mail.com</w:t>
      </w:r>
      <w:r w:rsidR="00435279">
        <w:rPr>
          <w:rFonts w:ascii="Times New Roman" w:hAnsi="Times New Roman"/>
          <w:sz w:val="24"/>
          <w:szCs w:val="24"/>
        </w:rPr>
        <w:t>,</w:t>
      </w:r>
      <w:r w:rsidR="00435279" w:rsidRPr="00435279">
        <w:rPr>
          <w:rFonts w:ascii="Times New Roman" w:hAnsi="Times New Roman"/>
          <w:sz w:val="24"/>
          <w:szCs w:val="24"/>
        </w:rPr>
        <w:t xml:space="preserve"> </w:t>
      </w:r>
      <w:r w:rsidR="00435279">
        <w:rPr>
          <w:rFonts w:ascii="Times New Roman" w:hAnsi="Times New Roman"/>
          <w:sz w:val="24"/>
          <w:szCs w:val="24"/>
        </w:rPr>
        <w:t>ORCID</w:t>
      </w:r>
    </w:p>
    <w:p w14:paraId="22785860" w14:textId="77777777" w:rsidR="0074289F" w:rsidRPr="004C5FD3" w:rsidRDefault="0074289F" w:rsidP="004C5FD3">
      <w:pPr>
        <w:pStyle w:val="MDPI16affiliation"/>
        <w:spacing w:before="120" w:line="240" w:lineRule="auto"/>
        <w:ind w:left="993"/>
        <w:rPr>
          <w:rFonts w:ascii="Times New Roman" w:hAnsi="Times New Roman"/>
          <w:sz w:val="24"/>
          <w:szCs w:val="24"/>
        </w:rPr>
      </w:pPr>
      <w:r w:rsidRPr="004C5FD3">
        <w:rPr>
          <w:rFonts w:ascii="Times New Roman" w:hAnsi="Times New Roman"/>
          <w:b/>
          <w:sz w:val="24"/>
          <w:szCs w:val="24"/>
        </w:rPr>
        <w:t>*</w:t>
      </w:r>
      <w:r w:rsidRPr="004C5FD3">
        <w:rPr>
          <w:rFonts w:ascii="Times New Roman" w:hAnsi="Times New Roman"/>
          <w:sz w:val="24"/>
          <w:szCs w:val="24"/>
        </w:rPr>
        <w:tab/>
        <w:t>Correspondence: e-mail@e-mail.com; Tel.: (optional; include country code; if there are multiple corresponding authors, add author initials)</w:t>
      </w:r>
    </w:p>
    <w:p w14:paraId="2AFDBD04" w14:textId="77777777" w:rsidR="00C84269" w:rsidRPr="004C5FD3" w:rsidRDefault="00C84269" w:rsidP="004C5FD3">
      <w:pPr>
        <w:pStyle w:val="MDPI17abstract"/>
        <w:spacing w:before="120" w:line="240" w:lineRule="auto"/>
        <w:ind w:left="993"/>
        <w:rPr>
          <w:rFonts w:ascii="Times New Roman" w:hAnsi="Times New Roman"/>
          <w:b/>
          <w:sz w:val="24"/>
          <w:szCs w:val="24"/>
        </w:rPr>
      </w:pPr>
    </w:p>
    <w:p w14:paraId="0E4DBA78" w14:textId="3663BAB0" w:rsidR="0074289F" w:rsidRPr="004C5FD3" w:rsidRDefault="0074289F" w:rsidP="004C5FD3">
      <w:pPr>
        <w:pStyle w:val="MDPI17abstract"/>
        <w:spacing w:before="120" w:line="240" w:lineRule="auto"/>
        <w:ind w:left="993"/>
        <w:rPr>
          <w:rFonts w:ascii="Times New Roman" w:hAnsi="Times New Roman"/>
          <w:sz w:val="24"/>
          <w:szCs w:val="24"/>
        </w:rPr>
      </w:pPr>
      <w:r w:rsidRPr="004C5FD3">
        <w:rPr>
          <w:rFonts w:ascii="Times New Roman" w:hAnsi="Times New Roman"/>
          <w:b/>
          <w:sz w:val="24"/>
          <w:szCs w:val="24"/>
        </w:rPr>
        <w:t xml:space="preserve">Abstract: </w:t>
      </w:r>
      <w:r w:rsidRPr="004C5FD3">
        <w:rPr>
          <w:rFonts w:ascii="Times New Roman" w:hAnsi="Times New Roman"/>
          <w:sz w:val="24"/>
          <w:szCs w:val="24"/>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276BDD59" w14:textId="77777777" w:rsidR="00C84269" w:rsidRPr="004C5FD3" w:rsidRDefault="00C84269" w:rsidP="004C5FD3">
      <w:pPr>
        <w:pStyle w:val="MDPI18keywords"/>
        <w:spacing w:before="120" w:line="240" w:lineRule="auto"/>
        <w:ind w:left="993"/>
        <w:rPr>
          <w:rFonts w:ascii="Times New Roman" w:hAnsi="Times New Roman"/>
          <w:b/>
          <w:sz w:val="24"/>
          <w:szCs w:val="24"/>
        </w:rPr>
      </w:pPr>
    </w:p>
    <w:p w14:paraId="56F7481D" w14:textId="6598867A" w:rsidR="0074289F" w:rsidRPr="004C5FD3" w:rsidRDefault="0074289F" w:rsidP="004C5FD3">
      <w:pPr>
        <w:pStyle w:val="MDPI18keywords"/>
        <w:spacing w:before="120" w:line="240" w:lineRule="auto"/>
        <w:ind w:left="993"/>
        <w:rPr>
          <w:rFonts w:ascii="Times New Roman" w:hAnsi="Times New Roman"/>
          <w:sz w:val="24"/>
          <w:szCs w:val="24"/>
        </w:rPr>
      </w:pPr>
      <w:r w:rsidRPr="004C5FD3">
        <w:rPr>
          <w:rFonts w:ascii="Times New Roman" w:hAnsi="Times New Roman"/>
          <w:b/>
          <w:sz w:val="24"/>
          <w:szCs w:val="24"/>
        </w:rPr>
        <w:t xml:space="preserve">Keywords: </w:t>
      </w:r>
      <w:r w:rsidRPr="004C5FD3">
        <w:rPr>
          <w:rFonts w:ascii="Times New Roman" w:hAnsi="Times New Roman"/>
          <w:sz w:val="24"/>
          <w:szCs w:val="24"/>
        </w:rPr>
        <w:t>keyword 1; keyword 2; keyword 3 (List three to ten pertinent keywords specific to the article yet reasonably common within the subject discipline.)</w:t>
      </w:r>
    </w:p>
    <w:p w14:paraId="6796550D" w14:textId="77777777" w:rsidR="0074289F" w:rsidRPr="004C5FD3" w:rsidRDefault="0074289F" w:rsidP="00354200">
      <w:pPr>
        <w:pStyle w:val="MDPI19line"/>
        <w:pBdr>
          <w:bottom w:val="none" w:sz="0" w:space="0" w:color="auto"/>
        </w:pBdr>
        <w:spacing w:before="120" w:line="240" w:lineRule="auto"/>
        <w:ind w:left="993"/>
        <w:rPr>
          <w:rFonts w:ascii="Times New Roman" w:hAnsi="Times New Roman" w:cs="Times New Roman"/>
          <w:sz w:val="24"/>
        </w:rPr>
      </w:pPr>
    </w:p>
    <w:p w14:paraId="3B9A3F97" w14:textId="64780C10" w:rsidR="00C84269" w:rsidRDefault="00C84269" w:rsidP="00354200">
      <w:pPr>
        <w:pStyle w:val="MDPI19line"/>
        <w:pBdr>
          <w:bottom w:val="none" w:sz="0" w:space="0" w:color="auto"/>
        </w:pBdr>
        <w:spacing w:before="120" w:line="240" w:lineRule="auto"/>
        <w:ind w:left="993"/>
        <w:rPr>
          <w:rFonts w:ascii="Times New Roman" w:hAnsi="Times New Roman" w:cs="Times New Roman"/>
          <w:b/>
          <w:bCs/>
          <w:sz w:val="24"/>
        </w:rPr>
      </w:pPr>
      <w:r w:rsidRPr="004C5FD3">
        <w:rPr>
          <w:rFonts w:ascii="Times New Roman" w:hAnsi="Times New Roman" w:cs="Times New Roman"/>
          <w:b/>
          <w:bCs/>
          <w:sz w:val="24"/>
          <w:highlight w:val="yellow"/>
        </w:rPr>
        <w:t xml:space="preserve">Citations and references should be prepared according to APA </w:t>
      </w:r>
      <w:r w:rsidR="00354200">
        <w:rPr>
          <w:rFonts w:ascii="Times New Roman" w:hAnsi="Times New Roman" w:cs="Times New Roman"/>
          <w:b/>
          <w:bCs/>
          <w:sz w:val="24"/>
          <w:highlight w:val="yellow"/>
        </w:rPr>
        <w:t>Style</w:t>
      </w:r>
      <w:r w:rsidRPr="004C5FD3">
        <w:rPr>
          <w:rFonts w:ascii="Times New Roman" w:hAnsi="Times New Roman" w:cs="Times New Roman"/>
          <w:b/>
          <w:bCs/>
          <w:sz w:val="24"/>
          <w:highlight w:val="yellow"/>
        </w:rPr>
        <w:t xml:space="preserve"> standards.</w:t>
      </w:r>
    </w:p>
    <w:p w14:paraId="70BC5EBF" w14:textId="24D325A1" w:rsidR="00354200" w:rsidRPr="004C5FD3" w:rsidRDefault="00000000" w:rsidP="00354200">
      <w:pPr>
        <w:pStyle w:val="MDPI19line"/>
        <w:pBdr>
          <w:bottom w:val="none" w:sz="0" w:space="0" w:color="auto"/>
        </w:pBdr>
        <w:spacing w:before="120" w:line="240" w:lineRule="auto"/>
        <w:ind w:left="993"/>
        <w:rPr>
          <w:rFonts w:ascii="Times New Roman" w:hAnsi="Times New Roman" w:cs="Times New Roman"/>
          <w:b/>
          <w:bCs/>
          <w:sz w:val="24"/>
        </w:rPr>
      </w:pPr>
      <w:hyperlink r:id="rId8" w:history="1">
        <w:r w:rsidR="00354200" w:rsidRPr="006A6FC0">
          <w:rPr>
            <w:rStyle w:val="Kpr"/>
            <w:rFonts w:ascii="Times New Roman" w:hAnsi="Times New Roman" w:cs="Times New Roman"/>
            <w:b/>
            <w:bCs/>
            <w:sz w:val="24"/>
          </w:rPr>
          <w:t>https://apastyle.apa.org/style-grammar-guidelines</w:t>
        </w:r>
      </w:hyperlink>
      <w:r w:rsidR="00354200">
        <w:rPr>
          <w:rFonts w:ascii="Times New Roman" w:hAnsi="Times New Roman" w:cs="Times New Roman"/>
          <w:b/>
          <w:bCs/>
          <w:sz w:val="24"/>
        </w:rPr>
        <w:t xml:space="preserve"> </w:t>
      </w:r>
    </w:p>
    <w:p w14:paraId="61243121" w14:textId="77777777" w:rsidR="00C84269" w:rsidRPr="004C5FD3" w:rsidRDefault="00C84269" w:rsidP="004C5FD3">
      <w:pPr>
        <w:spacing w:before="120" w:after="160" w:line="240" w:lineRule="auto"/>
        <w:jc w:val="left"/>
        <w:rPr>
          <w:rFonts w:ascii="Times New Roman" w:eastAsia="Times New Roman" w:hAnsi="Times New Roman"/>
          <w:b/>
          <w:noProof w:val="0"/>
          <w:snapToGrid w:val="0"/>
          <w:sz w:val="24"/>
          <w:szCs w:val="24"/>
          <w:lang w:bidi="en-US"/>
        </w:rPr>
      </w:pPr>
      <w:r w:rsidRPr="004C5FD3">
        <w:rPr>
          <w:rFonts w:ascii="Times New Roman" w:hAnsi="Times New Roman"/>
          <w:sz w:val="24"/>
          <w:szCs w:val="24"/>
        </w:rPr>
        <w:br w:type="page"/>
      </w:r>
    </w:p>
    <w:p w14:paraId="55D4FBE0" w14:textId="169B5BFA" w:rsidR="0074289F" w:rsidRPr="004C5FD3" w:rsidRDefault="0074289F" w:rsidP="006249E9">
      <w:pPr>
        <w:pStyle w:val="MDPI21heading1"/>
        <w:spacing w:before="120" w:line="240" w:lineRule="auto"/>
        <w:ind w:left="993"/>
        <w:jc w:val="center"/>
        <w:rPr>
          <w:rFonts w:ascii="Times New Roman" w:hAnsi="Times New Roman"/>
          <w:sz w:val="24"/>
          <w:szCs w:val="24"/>
          <w:lang w:eastAsia="zh-CN"/>
        </w:rPr>
      </w:pPr>
      <w:r w:rsidRPr="004C5FD3">
        <w:rPr>
          <w:rFonts w:ascii="Times New Roman" w:hAnsi="Times New Roman"/>
          <w:sz w:val="24"/>
          <w:szCs w:val="24"/>
          <w:lang w:eastAsia="zh-CN"/>
        </w:rPr>
        <w:lastRenderedPageBreak/>
        <w:t>1. Introduction</w:t>
      </w:r>
    </w:p>
    <w:p w14:paraId="66CF9185" w14:textId="6D3A5BC9"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w:t>
      </w:r>
    </w:p>
    <w:p w14:paraId="03C1375F" w14:textId="32E19475" w:rsidR="00C84269" w:rsidRPr="004C5FD3" w:rsidRDefault="00C84269"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highlight w:val="yellow"/>
        </w:rPr>
        <w:t>(Sample)</w:t>
      </w:r>
    </w:p>
    <w:p w14:paraId="6A913EF1" w14:textId="2A02C091" w:rsidR="0074289F" w:rsidRDefault="00C84269" w:rsidP="004C5FD3">
      <w:pPr>
        <w:pStyle w:val="MDPI31text"/>
        <w:spacing w:before="120" w:line="240" w:lineRule="auto"/>
        <w:ind w:left="993"/>
        <w:rPr>
          <w:rFonts w:ascii="Times New Roman" w:eastAsia="Calibri" w:hAnsi="Times New Roman"/>
          <w:snapToGrid/>
          <w:color w:val="auto"/>
          <w:sz w:val="24"/>
          <w:szCs w:val="24"/>
          <w:shd w:val="clear" w:color="auto" w:fill="FFFFFF"/>
          <w:lang w:eastAsia="en-US" w:bidi="ar-SA"/>
        </w:rPr>
      </w:pPr>
      <w:r w:rsidRPr="004C5FD3">
        <w:rPr>
          <w:rFonts w:ascii="Times New Roman" w:eastAsia="Calibri" w:hAnsi="Times New Roman"/>
          <w:snapToGrid/>
          <w:color w:val="auto"/>
          <w:sz w:val="24"/>
          <w:szCs w:val="24"/>
          <w:shd w:val="clear" w:color="auto" w:fill="FFFFFF"/>
          <w:lang w:eastAsia="en-US" w:bidi="ar-SA"/>
        </w:rPr>
        <w:t>Student ratings and evaluations of instruction have a long history as sources of information about teaching quality (Berk, 2013). Student evaluations of teaching (SETs) often play a significant role in high-stakes decisions about hiring, promotion, tenure, and teaching awards. As a result, researchers have examined the psychometric properties of SETs and the possible impact of variables such as race, gender, age, course difficulty, and grading practices on average student ratings (Griffin et al., 2014;</w:t>
      </w:r>
      <w:r w:rsidRPr="004C5FD3" w:rsidDel="00E64A41">
        <w:rPr>
          <w:rFonts w:ascii="Times New Roman" w:eastAsia="Calibri" w:hAnsi="Times New Roman"/>
          <w:snapToGrid/>
          <w:color w:val="auto"/>
          <w:sz w:val="24"/>
          <w:szCs w:val="24"/>
          <w:shd w:val="clear" w:color="auto" w:fill="FFFFFF"/>
          <w:lang w:eastAsia="en-US" w:bidi="ar-SA"/>
        </w:rPr>
        <w:t xml:space="preserve"> </w:t>
      </w:r>
      <w:proofErr w:type="spellStart"/>
      <w:r w:rsidRPr="004C5FD3">
        <w:rPr>
          <w:rFonts w:ascii="Times New Roman" w:eastAsia="Calibri" w:hAnsi="Times New Roman"/>
          <w:snapToGrid/>
          <w:color w:val="auto"/>
          <w:sz w:val="24"/>
          <w:szCs w:val="24"/>
          <w:shd w:val="clear" w:color="auto" w:fill="FFFFFF"/>
          <w:lang w:eastAsia="en-US" w:bidi="ar-SA"/>
        </w:rPr>
        <w:t>Nulty</w:t>
      </w:r>
      <w:proofErr w:type="spellEnd"/>
      <w:r w:rsidRPr="004C5FD3">
        <w:rPr>
          <w:rFonts w:ascii="Times New Roman" w:eastAsia="Calibri" w:hAnsi="Times New Roman"/>
          <w:snapToGrid/>
          <w:color w:val="auto"/>
          <w:sz w:val="24"/>
          <w:szCs w:val="24"/>
          <w:shd w:val="clear" w:color="auto" w:fill="FFFFFF"/>
          <w:lang w:eastAsia="en-US" w:bidi="ar-SA"/>
        </w:rPr>
        <w:t xml:space="preserve">, 2008; </w:t>
      </w:r>
      <w:proofErr w:type="spellStart"/>
      <w:r w:rsidRPr="004C5FD3">
        <w:rPr>
          <w:rFonts w:ascii="Times New Roman" w:eastAsia="Calibri" w:hAnsi="Times New Roman"/>
          <w:snapToGrid/>
          <w:color w:val="auto"/>
          <w:sz w:val="24"/>
          <w:szCs w:val="24"/>
          <w:shd w:val="clear" w:color="auto" w:fill="FFFFFF"/>
          <w:lang w:eastAsia="en-US" w:bidi="ar-SA"/>
        </w:rPr>
        <w:t>Spooren</w:t>
      </w:r>
      <w:proofErr w:type="spellEnd"/>
      <w:r w:rsidRPr="004C5FD3">
        <w:rPr>
          <w:rFonts w:ascii="Times New Roman" w:eastAsia="Calibri" w:hAnsi="Times New Roman"/>
          <w:snapToGrid/>
          <w:color w:val="auto"/>
          <w:sz w:val="24"/>
          <w:szCs w:val="24"/>
          <w:shd w:val="clear" w:color="auto" w:fill="FFFFFF"/>
          <w:lang w:eastAsia="en-US" w:bidi="ar-SA"/>
        </w:rPr>
        <w:t xml:space="preserve"> et al., 2013). They have also examined how decision makers evaluate SET scores (Boysen, 2015a, 2015b; Boysen et al., 2014; Dewar, 2011). In the last 20 years, considerable attention has been directed toward the consequences of administering SETs online (Morrison, 2011; Stowell et al., 2012) because low response rates may have implications for how decision makers should interpret SETs.</w:t>
      </w:r>
    </w:p>
    <w:p w14:paraId="160DFA84" w14:textId="77777777" w:rsidR="00354200" w:rsidRPr="004C5FD3" w:rsidRDefault="00354200" w:rsidP="004C5FD3">
      <w:pPr>
        <w:pStyle w:val="MDPI31text"/>
        <w:spacing w:before="120" w:line="240" w:lineRule="auto"/>
        <w:ind w:left="993"/>
        <w:rPr>
          <w:rFonts w:ascii="Times New Roman" w:hAnsi="Times New Roman"/>
          <w:sz w:val="24"/>
          <w:szCs w:val="24"/>
        </w:rPr>
      </w:pPr>
    </w:p>
    <w:p w14:paraId="440E90A7"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lang w:eastAsia="zh-CN"/>
        </w:rPr>
        <w:t xml:space="preserve">2. </w:t>
      </w:r>
      <w:r w:rsidRPr="004C5FD3">
        <w:rPr>
          <w:rFonts w:ascii="Times New Roman" w:hAnsi="Times New Roman"/>
          <w:sz w:val="24"/>
          <w:szCs w:val="24"/>
        </w:rPr>
        <w:t>Materials and Methods</w:t>
      </w:r>
    </w:p>
    <w:p w14:paraId="7DD041BD"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 xml:space="preserve">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w:t>
      </w:r>
      <w:bookmarkStart w:id="0" w:name="page2"/>
      <w:bookmarkEnd w:id="0"/>
      <w:r w:rsidRPr="004C5FD3">
        <w:rPr>
          <w:rFonts w:ascii="Times New Roman" w:hAnsi="Times New Roman"/>
          <w:sz w:val="24"/>
          <w:szCs w:val="24"/>
        </w:rPr>
        <w:t>stage any restrictions on the availability of materials or information. New methods and protocols should be described in detail while well-established methods can be briefly described and appropriately cited.</w:t>
      </w:r>
    </w:p>
    <w:p w14:paraId="3976DF27"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05BBFCD" w14:textId="77777777" w:rsidR="0074289F" w:rsidRPr="004C5FD3" w:rsidRDefault="0074289F" w:rsidP="004C5FD3">
      <w:pPr>
        <w:pStyle w:val="MDPI31text"/>
        <w:spacing w:before="120" w:line="240" w:lineRule="auto"/>
        <w:ind w:left="993"/>
        <w:rPr>
          <w:rFonts w:ascii="Times New Roman" w:hAnsi="Times New Roman"/>
          <w:sz w:val="24"/>
          <w:szCs w:val="24"/>
        </w:rPr>
      </w:pPr>
      <w:proofErr w:type="spellStart"/>
      <w:r w:rsidRPr="004C5FD3">
        <w:rPr>
          <w:rFonts w:ascii="Times New Roman" w:hAnsi="Times New Roman"/>
          <w:sz w:val="24"/>
          <w:szCs w:val="24"/>
        </w:rPr>
        <w:t>Interventionary</w:t>
      </w:r>
      <w:proofErr w:type="spellEnd"/>
      <w:r w:rsidRPr="004C5FD3">
        <w:rPr>
          <w:rFonts w:ascii="Times New Roman" w:hAnsi="Times New Roman"/>
          <w:sz w:val="24"/>
          <w:szCs w:val="24"/>
        </w:rPr>
        <w:t xml:space="preserve"> studies involving animals or humans, and other studies that require ethical approval, must list the authority that provided approval and the corresponding ethical approval code.</w:t>
      </w:r>
    </w:p>
    <w:p w14:paraId="368E9758" w14:textId="77777777" w:rsidR="00C84269" w:rsidRPr="004C5FD3" w:rsidRDefault="00C84269"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highlight w:val="yellow"/>
        </w:rPr>
        <w:t>(Sample)</w:t>
      </w:r>
    </w:p>
    <w:p w14:paraId="4BB65C76" w14:textId="240D8AB2" w:rsidR="00C84269" w:rsidRPr="00C84269" w:rsidRDefault="00C84269" w:rsidP="004C5FD3">
      <w:pPr>
        <w:pStyle w:val="MDPI31text"/>
        <w:spacing w:before="120" w:line="240" w:lineRule="auto"/>
        <w:ind w:left="993"/>
        <w:rPr>
          <w:rFonts w:ascii="Times New Roman" w:hAnsi="Times New Roman"/>
          <w:sz w:val="24"/>
          <w:szCs w:val="24"/>
        </w:rPr>
      </w:pPr>
      <w:r w:rsidRPr="00C84269">
        <w:rPr>
          <w:rFonts w:ascii="Times New Roman" w:eastAsia="Calibri" w:hAnsi="Times New Roman"/>
          <w:color w:val="auto"/>
          <w:sz w:val="24"/>
          <w:szCs w:val="24"/>
          <w:shd w:val="clear" w:color="auto" w:fill="FFFFFF"/>
          <w:lang w:eastAsia="en-US"/>
        </w:rPr>
        <w:t xml:space="preserve">Response rates and evaluation ratings were retrieved from archived course evaluation data. The archive of SET data did not include information about personal characteristics of the instructor (gender, age, or years of teaching experience), and students were not provided with any systematic incentive to complete the paper or online versions of the SET. We extracted data on response rates and evaluation ratings for 364 courses that had been taught by the same instructor during three consecutive fall terms (2012, 2013, and 2014). </w:t>
      </w:r>
    </w:p>
    <w:p w14:paraId="40F63F52" w14:textId="2E05F2D6" w:rsidR="00C84269" w:rsidRDefault="00C84269" w:rsidP="004C5FD3">
      <w:pPr>
        <w:pStyle w:val="MDPI31text"/>
        <w:spacing w:before="120" w:line="240" w:lineRule="auto"/>
        <w:ind w:left="993"/>
        <w:rPr>
          <w:rFonts w:ascii="Times New Roman" w:eastAsia="Calibri" w:hAnsi="Times New Roman"/>
          <w:snapToGrid/>
          <w:color w:val="auto"/>
          <w:sz w:val="24"/>
          <w:szCs w:val="24"/>
          <w:shd w:val="clear" w:color="auto" w:fill="FFFFFF"/>
          <w:lang w:eastAsia="en-US" w:bidi="ar-SA"/>
        </w:rPr>
      </w:pPr>
      <w:r w:rsidRPr="004C5FD3">
        <w:rPr>
          <w:rFonts w:ascii="Times New Roman" w:eastAsia="Calibri" w:hAnsi="Times New Roman"/>
          <w:snapToGrid/>
          <w:color w:val="auto"/>
          <w:sz w:val="24"/>
          <w:szCs w:val="24"/>
          <w:shd w:val="clear" w:color="auto" w:fill="FFFFFF"/>
          <w:lang w:eastAsia="en-US" w:bidi="ar-SA"/>
        </w:rPr>
        <w:t xml:space="preserve">The sample included faculty who taught in each of the five colleges at the university: 109 instructors (30%) taught in the College of Social Science and Humanities, 82 (23%) </w:t>
      </w:r>
      <w:r w:rsidRPr="004C5FD3">
        <w:rPr>
          <w:rFonts w:ascii="Times New Roman" w:eastAsia="Calibri" w:hAnsi="Times New Roman"/>
          <w:snapToGrid/>
          <w:color w:val="auto"/>
          <w:sz w:val="24"/>
          <w:szCs w:val="24"/>
          <w:shd w:val="clear" w:color="auto" w:fill="FFFFFF"/>
          <w:lang w:eastAsia="en-US" w:bidi="ar-SA"/>
        </w:rPr>
        <w:lastRenderedPageBreak/>
        <w:t>taught in the College of Science and Engineering, 75 (21%) taught in the College of Education and Professional Studies, 58 (16%) taught in the College of Health, and 40 (11%) taught in the College of Business. Each instructor provided data on one course. Approximately 259 instructors (71%) provided ratings for face-to-face courses, and 105 (29%) provided ratings for online courses, which accurately reflects the proportion of face-to-face and online courses offered at the university. The sample included 107 courses (29%) at the beginning undergraduate level (1st- and 2nd-year students), 205 courses (56%) at the advanced undergraduate level (3rd- and 4th-year students), and 52 courses (14%) at the graduate level.</w:t>
      </w:r>
    </w:p>
    <w:p w14:paraId="507D34AA" w14:textId="77777777" w:rsidR="00354200" w:rsidRPr="004C5FD3" w:rsidRDefault="00354200" w:rsidP="004C5FD3">
      <w:pPr>
        <w:pStyle w:val="MDPI31text"/>
        <w:spacing w:before="120" w:line="240" w:lineRule="auto"/>
        <w:ind w:left="993"/>
        <w:rPr>
          <w:rFonts w:ascii="Times New Roman" w:hAnsi="Times New Roman"/>
          <w:sz w:val="24"/>
          <w:szCs w:val="24"/>
        </w:rPr>
      </w:pPr>
    </w:p>
    <w:p w14:paraId="7AD9CCC6"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3. Results</w:t>
      </w:r>
    </w:p>
    <w:p w14:paraId="1091B5B4"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This section may be divided by subheadings. It should provide a concise and precise description of the experimental results, their interpretation, as well as the experimental conclusions that can be drawn.</w:t>
      </w:r>
    </w:p>
    <w:p w14:paraId="40F471EA" w14:textId="77777777" w:rsidR="0074289F" w:rsidRPr="004C5FD3" w:rsidRDefault="0074289F" w:rsidP="004C5FD3">
      <w:pPr>
        <w:pStyle w:val="MDPI22heading2"/>
        <w:spacing w:before="120" w:line="240" w:lineRule="auto"/>
        <w:ind w:left="993"/>
        <w:rPr>
          <w:rFonts w:ascii="Times New Roman" w:hAnsi="Times New Roman"/>
          <w:sz w:val="24"/>
          <w:szCs w:val="24"/>
        </w:rPr>
      </w:pPr>
      <w:r w:rsidRPr="004C5FD3">
        <w:rPr>
          <w:rFonts w:ascii="Times New Roman" w:hAnsi="Times New Roman"/>
          <w:sz w:val="24"/>
          <w:szCs w:val="24"/>
        </w:rPr>
        <w:t>3.1. Subsection</w:t>
      </w:r>
    </w:p>
    <w:p w14:paraId="7CC2E855" w14:textId="77777777" w:rsidR="0074289F" w:rsidRPr="004C5FD3" w:rsidRDefault="0074289F" w:rsidP="004C5FD3">
      <w:pPr>
        <w:pStyle w:val="MDPI23heading3"/>
        <w:spacing w:before="120" w:line="240" w:lineRule="auto"/>
        <w:ind w:left="993"/>
        <w:rPr>
          <w:rFonts w:ascii="Times New Roman" w:hAnsi="Times New Roman"/>
          <w:sz w:val="24"/>
          <w:szCs w:val="24"/>
        </w:rPr>
      </w:pPr>
      <w:r w:rsidRPr="004C5FD3">
        <w:rPr>
          <w:rFonts w:ascii="Times New Roman" w:hAnsi="Times New Roman"/>
          <w:sz w:val="24"/>
          <w:szCs w:val="24"/>
        </w:rPr>
        <w:t>3.1.1. Subsubsection</w:t>
      </w:r>
    </w:p>
    <w:p w14:paraId="5C580C46" w14:textId="77777777" w:rsidR="0074289F" w:rsidRPr="004C5FD3" w:rsidRDefault="0074289F" w:rsidP="004C5FD3">
      <w:pPr>
        <w:pStyle w:val="MDPI35textbeforelist"/>
        <w:spacing w:before="120" w:line="240" w:lineRule="auto"/>
        <w:ind w:left="993"/>
        <w:rPr>
          <w:rFonts w:ascii="Times New Roman" w:hAnsi="Times New Roman"/>
          <w:sz w:val="24"/>
          <w:szCs w:val="24"/>
        </w:rPr>
      </w:pPr>
      <w:r w:rsidRPr="004C5FD3">
        <w:rPr>
          <w:rFonts w:ascii="Times New Roman" w:hAnsi="Times New Roman"/>
          <w:sz w:val="24"/>
          <w:szCs w:val="24"/>
        </w:rPr>
        <w:t>Bulleted lists look like this:</w:t>
      </w:r>
    </w:p>
    <w:p w14:paraId="38DBBBF6" w14:textId="77777777" w:rsidR="0074289F" w:rsidRPr="004C5FD3" w:rsidRDefault="0074289F" w:rsidP="004C5FD3">
      <w:pPr>
        <w:pStyle w:val="MDPI38bullet"/>
        <w:spacing w:before="120" w:line="240" w:lineRule="auto"/>
        <w:ind w:left="993"/>
        <w:rPr>
          <w:rFonts w:ascii="Times New Roman" w:hAnsi="Times New Roman"/>
          <w:sz w:val="24"/>
          <w:szCs w:val="24"/>
        </w:rPr>
      </w:pPr>
      <w:r w:rsidRPr="004C5FD3">
        <w:rPr>
          <w:rFonts w:ascii="Times New Roman" w:hAnsi="Times New Roman"/>
          <w:sz w:val="24"/>
          <w:szCs w:val="24"/>
        </w:rPr>
        <w:t>First bullet;</w:t>
      </w:r>
    </w:p>
    <w:p w14:paraId="60C6A0BC" w14:textId="77777777" w:rsidR="0074289F" w:rsidRPr="004C5FD3" w:rsidRDefault="0074289F" w:rsidP="004C5FD3">
      <w:pPr>
        <w:pStyle w:val="MDPI38bullet"/>
        <w:spacing w:before="120" w:line="240" w:lineRule="auto"/>
        <w:ind w:left="993"/>
        <w:rPr>
          <w:rFonts w:ascii="Times New Roman" w:hAnsi="Times New Roman"/>
          <w:sz w:val="24"/>
          <w:szCs w:val="24"/>
        </w:rPr>
      </w:pPr>
      <w:r w:rsidRPr="004C5FD3">
        <w:rPr>
          <w:rFonts w:ascii="Times New Roman" w:hAnsi="Times New Roman"/>
          <w:sz w:val="24"/>
          <w:szCs w:val="24"/>
        </w:rPr>
        <w:t>Second bullet;</w:t>
      </w:r>
    </w:p>
    <w:p w14:paraId="370A3DBE" w14:textId="77777777" w:rsidR="00C53EE9" w:rsidRPr="004C5FD3" w:rsidRDefault="00C53EE9" w:rsidP="004C5FD3">
      <w:pPr>
        <w:pStyle w:val="MDPI35textbeforelist"/>
        <w:spacing w:before="120" w:line="240" w:lineRule="auto"/>
        <w:ind w:left="993"/>
        <w:rPr>
          <w:rFonts w:ascii="Times New Roman" w:hAnsi="Times New Roman"/>
          <w:sz w:val="24"/>
          <w:szCs w:val="24"/>
        </w:rPr>
      </w:pPr>
    </w:p>
    <w:p w14:paraId="12F8FB79" w14:textId="3E64AB3E" w:rsidR="0074289F" w:rsidRPr="004C5FD3" w:rsidRDefault="0074289F" w:rsidP="004C5FD3">
      <w:pPr>
        <w:pStyle w:val="MDPI35textbeforelist"/>
        <w:spacing w:before="120" w:line="240" w:lineRule="auto"/>
        <w:ind w:left="993"/>
        <w:rPr>
          <w:rFonts w:ascii="Times New Roman" w:hAnsi="Times New Roman"/>
          <w:sz w:val="24"/>
          <w:szCs w:val="24"/>
        </w:rPr>
      </w:pPr>
      <w:r w:rsidRPr="004C5FD3">
        <w:rPr>
          <w:rFonts w:ascii="Times New Roman" w:hAnsi="Times New Roman"/>
          <w:sz w:val="24"/>
          <w:szCs w:val="24"/>
        </w:rPr>
        <w:t>Numbered lists can be added as follows:</w:t>
      </w:r>
    </w:p>
    <w:p w14:paraId="74D403D5" w14:textId="77777777" w:rsidR="0074289F" w:rsidRPr="004C5FD3" w:rsidRDefault="0074289F" w:rsidP="004C5FD3">
      <w:pPr>
        <w:pStyle w:val="MDPI37itemize"/>
        <w:spacing w:before="120" w:line="240" w:lineRule="auto"/>
        <w:ind w:left="993"/>
        <w:rPr>
          <w:rFonts w:ascii="Times New Roman" w:hAnsi="Times New Roman"/>
          <w:sz w:val="24"/>
          <w:szCs w:val="24"/>
        </w:rPr>
      </w:pPr>
      <w:r w:rsidRPr="004C5FD3">
        <w:rPr>
          <w:rFonts w:ascii="Times New Roman" w:hAnsi="Times New Roman"/>
          <w:sz w:val="24"/>
          <w:szCs w:val="24"/>
        </w:rPr>
        <w:t>First item;</w:t>
      </w:r>
    </w:p>
    <w:p w14:paraId="04A3E909" w14:textId="77777777" w:rsidR="0074289F" w:rsidRPr="004C5FD3" w:rsidRDefault="0074289F" w:rsidP="004C5FD3">
      <w:pPr>
        <w:pStyle w:val="MDPI37itemize"/>
        <w:spacing w:before="120" w:line="240" w:lineRule="auto"/>
        <w:ind w:left="993"/>
        <w:rPr>
          <w:rFonts w:ascii="Times New Roman" w:hAnsi="Times New Roman"/>
          <w:sz w:val="24"/>
          <w:szCs w:val="24"/>
        </w:rPr>
      </w:pPr>
      <w:r w:rsidRPr="004C5FD3">
        <w:rPr>
          <w:rFonts w:ascii="Times New Roman" w:hAnsi="Times New Roman"/>
          <w:sz w:val="24"/>
          <w:szCs w:val="24"/>
        </w:rPr>
        <w:t>Second item;</w:t>
      </w:r>
    </w:p>
    <w:p w14:paraId="65611417" w14:textId="77777777" w:rsidR="00C53EE9" w:rsidRPr="004C5FD3" w:rsidRDefault="00C53EE9" w:rsidP="004C5FD3">
      <w:pPr>
        <w:pStyle w:val="MDPI31text"/>
        <w:spacing w:before="120" w:line="240" w:lineRule="auto"/>
        <w:ind w:left="993"/>
        <w:rPr>
          <w:rFonts w:ascii="Times New Roman" w:hAnsi="Times New Roman"/>
          <w:sz w:val="24"/>
          <w:szCs w:val="24"/>
        </w:rPr>
      </w:pPr>
    </w:p>
    <w:p w14:paraId="478DDB5E" w14:textId="77777777" w:rsidR="0074289F" w:rsidRPr="004C5FD3" w:rsidRDefault="0074289F" w:rsidP="004C5FD3">
      <w:pPr>
        <w:pStyle w:val="MDPI22heading2"/>
        <w:spacing w:before="120" w:line="240" w:lineRule="auto"/>
        <w:ind w:left="993"/>
        <w:rPr>
          <w:rFonts w:ascii="Times New Roman" w:hAnsi="Times New Roman"/>
          <w:noProof w:val="0"/>
          <w:sz w:val="24"/>
          <w:szCs w:val="24"/>
        </w:rPr>
      </w:pPr>
      <w:r w:rsidRPr="004C5FD3">
        <w:rPr>
          <w:rFonts w:ascii="Times New Roman" w:hAnsi="Times New Roman"/>
          <w:sz w:val="24"/>
          <w:szCs w:val="24"/>
        </w:rPr>
        <w:t>3.2</w:t>
      </w:r>
      <w:r w:rsidRPr="004C5FD3">
        <w:rPr>
          <w:rFonts w:ascii="Times New Roman" w:hAnsi="Times New Roman"/>
          <w:noProof w:val="0"/>
          <w:sz w:val="24"/>
          <w:szCs w:val="24"/>
        </w:rPr>
        <w:t>. Figures, Tables and Schemes</w:t>
      </w:r>
    </w:p>
    <w:p w14:paraId="37C15825" w14:textId="77777777" w:rsidR="00470D90" w:rsidRPr="004C5FD3" w:rsidRDefault="0074289F" w:rsidP="004C5FD3">
      <w:pPr>
        <w:pStyle w:val="MDPI51figurecaption"/>
        <w:spacing w:line="240" w:lineRule="auto"/>
        <w:ind w:left="993"/>
        <w:rPr>
          <w:rFonts w:ascii="Times New Roman" w:hAnsi="Times New Roman"/>
          <w:b/>
          <w:sz w:val="24"/>
          <w:szCs w:val="24"/>
        </w:rPr>
      </w:pPr>
      <w:r w:rsidRPr="004C5FD3">
        <w:rPr>
          <w:rFonts w:ascii="Times New Roman" w:hAnsi="Times New Roman"/>
          <w:sz w:val="24"/>
          <w:szCs w:val="24"/>
        </w:rPr>
        <w:t>All figures and tables should be cited in the main text as Figure 1, Table 1, etc.</w:t>
      </w:r>
      <w:r w:rsidR="00470D90" w:rsidRPr="004C5FD3">
        <w:rPr>
          <w:rFonts w:ascii="Times New Roman" w:hAnsi="Times New Roman"/>
          <w:b/>
          <w:sz w:val="24"/>
          <w:szCs w:val="24"/>
        </w:rPr>
        <w:t xml:space="preserve"> </w:t>
      </w:r>
    </w:p>
    <w:p w14:paraId="59BB171E" w14:textId="26999658" w:rsidR="00470D90" w:rsidRPr="004C5FD3" w:rsidRDefault="00C84269" w:rsidP="004C5FD3">
      <w:pPr>
        <w:pStyle w:val="MDPI51figurecaption"/>
        <w:spacing w:line="240" w:lineRule="auto"/>
        <w:ind w:left="993"/>
        <w:rPr>
          <w:rFonts w:ascii="Times New Roman" w:hAnsi="Times New Roman"/>
          <w:b/>
          <w:sz w:val="24"/>
          <w:szCs w:val="24"/>
        </w:rPr>
      </w:pPr>
      <w:r w:rsidRPr="004C5FD3">
        <w:rPr>
          <w:rFonts w:ascii="Times New Roman" w:hAnsi="Times New Roman"/>
          <w:b/>
          <w:sz w:val="24"/>
          <w:szCs w:val="24"/>
          <w:highlight w:val="yellow"/>
        </w:rPr>
        <w:t>(Sample)</w:t>
      </w:r>
    </w:p>
    <w:p w14:paraId="6BD072F1" w14:textId="0C1608BB" w:rsidR="00C84269" w:rsidRPr="004C5FD3" w:rsidRDefault="00C84269" w:rsidP="004C5FD3">
      <w:pPr>
        <w:pStyle w:val="MDPI51figurecaption"/>
        <w:spacing w:line="240" w:lineRule="auto"/>
        <w:ind w:left="993"/>
        <w:rPr>
          <w:rFonts w:ascii="Times New Roman" w:hAnsi="Times New Roman"/>
          <w:b/>
          <w:sz w:val="24"/>
          <w:szCs w:val="24"/>
        </w:rPr>
      </w:pPr>
      <w:r w:rsidRPr="004C5FD3">
        <w:rPr>
          <w:rFonts w:ascii="Times New Roman" w:eastAsia="Calibri" w:hAnsi="Times New Roman"/>
          <w:color w:val="auto"/>
          <w:sz w:val="24"/>
          <w:szCs w:val="24"/>
          <w:shd w:val="clear" w:color="auto" w:fill="FFFFFF"/>
          <w:lang w:eastAsia="en-US" w:bidi="ar-SA"/>
        </w:rPr>
        <w:t>Response rates are presented in Table 1. The findings</w:t>
      </w:r>
      <w:r w:rsidRPr="004C5FD3">
        <w:rPr>
          <w:rFonts w:ascii="Times New Roman" w:hAnsi="Times New Roman"/>
          <w:color w:val="auto"/>
          <w:sz w:val="24"/>
          <w:szCs w:val="24"/>
          <w:lang w:eastAsia="en-US" w:bidi="ar-SA"/>
        </w:rPr>
        <w:t xml:space="preserve"> </w:t>
      </w:r>
      <w:r w:rsidRPr="004C5FD3">
        <w:rPr>
          <w:rFonts w:ascii="Times New Roman" w:eastAsia="Calibri" w:hAnsi="Times New Roman"/>
          <w:color w:val="auto"/>
          <w:sz w:val="24"/>
          <w:szCs w:val="24"/>
          <w:shd w:val="clear" w:color="auto" w:fill="FFFFFF"/>
          <w:lang w:eastAsia="en-US" w:bidi="ar-SA"/>
        </w:rPr>
        <w:t>indicate that response rates for face-to-face courses were much higher than for online courses, but only when face-to-face course evaluations were administered in the classroom. In the Year 3 administration, when all course evaluations were administered online, response rates for face-to-face courses declined (</w:t>
      </w:r>
      <w:r w:rsidRPr="004C5FD3">
        <w:rPr>
          <w:rFonts w:ascii="Times New Roman" w:eastAsia="Calibri" w:hAnsi="Times New Roman"/>
          <w:i/>
          <w:iCs/>
          <w:color w:val="auto"/>
          <w:sz w:val="24"/>
          <w:szCs w:val="24"/>
          <w:shd w:val="clear" w:color="auto" w:fill="FFFFFF"/>
          <w:lang w:eastAsia="en-US" w:bidi="ar-SA"/>
        </w:rPr>
        <w:t>M</w:t>
      </w:r>
      <w:r w:rsidRPr="004C5FD3">
        <w:rPr>
          <w:rFonts w:ascii="Times New Roman" w:eastAsia="Calibri" w:hAnsi="Times New Roman"/>
          <w:color w:val="auto"/>
          <w:sz w:val="24"/>
          <w:szCs w:val="24"/>
          <w:shd w:val="clear" w:color="auto" w:fill="FFFFFF"/>
          <w:lang w:eastAsia="en-US" w:bidi="ar-SA"/>
        </w:rPr>
        <w:t xml:space="preserve"> = 47.18%, </w:t>
      </w:r>
      <w:r w:rsidRPr="004C5FD3">
        <w:rPr>
          <w:rFonts w:ascii="Times New Roman" w:eastAsia="Calibri" w:hAnsi="Times New Roman"/>
          <w:i/>
          <w:iCs/>
          <w:color w:val="auto"/>
          <w:sz w:val="24"/>
          <w:szCs w:val="24"/>
          <w:shd w:val="clear" w:color="auto" w:fill="FFFFFF"/>
          <w:lang w:eastAsia="en-US" w:bidi="ar-SA"/>
        </w:rPr>
        <w:t>SD</w:t>
      </w:r>
      <w:r w:rsidRPr="004C5FD3">
        <w:rPr>
          <w:rFonts w:ascii="Times New Roman" w:eastAsia="Calibri" w:hAnsi="Times New Roman"/>
          <w:color w:val="auto"/>
          <w:sz w:val="24"/>
          <w:szCs w:val="24"/>
          <w:shd w:val="clear" w:color="auto" w:fill="FFFFFF"/>
          <w:lang w:eastAsia="en-US" w:bidi="ar-SA"/>
        </w:rPr>
        <w:t> = 20.11), but were still slightly higher than for online courses (</w:t>
      </w:r>
      <w:r w:rsidRPr="004C5FD3">
        <w:rPr>
          <w:rFonts w:ascii="Times New Roman" w:eastAsia="Calibri" w:hAnsi="Times New Roman"/>
          <w:i/>
          <w:iCs/>
          <w:color w:val="auto"/>
          <w:sz w:val="24"/>
          <w:szCs w:val="24"/>
          <w:shd w:val="clear" w:color="auto" w:fill="FFFFFF"/>
          <w:lang w:eastAsia="en-US" w:bidi="ar-SA"/>
        </w:rPr>
        <w:t>M</w:t>
      </w:r>
      <w:r w:rsidRPr="004C5FD3">
        <w:rPr>
          <w:rFonts w:ascii="Times New Roman" w:eastAsia="Calibri" w:hAnsi="Times New Roman"/>
          <w:color w:val="auto"/>
          <w:sz w:val="24"/>
          <w:szCs w:val="24"/>
          <w:shd w:val="clear" w:color="auto" w:fill="FFFFFF"/>
          <w:lang w:eastAsia="en-US" w:bidi="ar-SA"/>
        </w:rPr>
        <w:t xml:space="preserve"> = 41.60%, </w:t>
      </w:r>
      <w:r w:rsidRPr="004C5FD3">
        <w:rPr>
          <w:rFonts w:ascii="Times New Roman" w:eastAsia="Calibri" w:hAnsi="Times New Roman"/>
          <w:i/>
          <w:iCs/>
          <w:color w:val="auto"/>
          <w:sz w:val="24"/>
          <w:szCs w:val="24"/>
          <w:shd w:val="clear" w:color="auto" w:fill="FFFFFF"/>
          <w:lang w:eastAsia="en-US" w:bidi="ar-SA"/>
        </w:rPr>
        <w:t>SD</w:t>
      </w:r>
      <w:r w:rsidRPr="004C5FD3">
        <w:rPr>
          <w:rFonts w:ascii="Times New Roman" w:eastAsia="Calibri" w:hAnsi="Times New Roman"/>
          <w:color w:val="auto"/>
          <w:sz w:val="24"/>
          <w:szCs w:val="24"/>
          <w:shd w:val="clear" w:color="auto" w:fill="FFFFFF"/>
          <w:lang w:eastAsia="en-US" w:bidi="ar-SA"/>
        </w:rPr>
        <w:t xml:space="preserve"> = 18.23). These findings produced a statistically significant interaction between course delivery method and evaluation year, </w:t>
      </w:r>
      <w:r w:rsidRPr="004C5FD3">
        <w:rPr>
          <w:rFonts w:ascii="Times New Roman" w:eastAsia="Calibri" w:hAnsi="Times New Roman"/>
          <w:i/>
          <w:iCs/>
          <w:color w:val="auto"/>
          <w:sz w:val="24"/>
          <w:szCs w:val="24"/>
          <w:shd w:val="clear" w:color="auto" w:fill="FFFFFF"/>
          <w:lang w:eastAsia="en-US" w:bidi="ar-SA"/>
        </w:rPr>
        <w:t>F</w:t>
      </w:r>
      <w:r w:rsidRPr="004C5FD3">
        <w:rPr>
          <w:rFonts w:ascii="Times New Roman" w:eastAsia="Calibri" w:hAnsi="Times New Roman"/>
          <w:color w:val="auto"/>
          <w:sz w:val="24"/>
          <w:szCs w:val="24"/>
          <w:shd w:val="clear" w:color="auto" w:fill="FFFFFF"/>
          <w:lang w:eastAsia="en-US" w:bidi="ar-SA"/>
        </w:rPr>
        <w:t xml:space="preserve">(1.78, 716) = 101.34, </w:t>
      </w:r>
      <w:r w:rsidRPr="004C5FD3">
        <w:rPr>
          <w:rFonts w:ascii="Times New Roman" w:eastAsia="Calibri" w:hAnsi="Times New Roman"/>
          <w:i/>
          <w:color w:val="auto"/>
          <w:sz w:val="24"/>
          <w:szCs w:val="24"/>
          <w:shd w:val="clear" w:color="auto" w:fill="FFFFFF"/>
          <w:lang w:eastAsia="en-US" w:bidi="ar-SA"/>
        </w:rPr>
        <w:t>MSE</w:t>
      </w:r>
      <w:r w:rsidRPr="004C5FD3">
        <w:rPr>
          <w:rFonts w:ascii="Times New Roman" w:eastAsia="Calibri" w:hAnsi="Times New Roman"/>
          <w:color w:val="auto"/>
          <w:sz w:val="24"/>
          <w:szCs w:val="24"/>
          <w:shd w:val="clear" w:color="auto" w:fill="FFFFFF"/>
          <w:lang w:eastAsia="en-US" w:bidi="ar-SA"/>
        </w:rPr>
        <w:t xml:space="preserve"> = 210.61, </w:t>
      </w:r>
      <w:r w:rsidRPr="004C5FD3">
        <w:rPr>
          <w:rFonts w:ascii="Times New Roman" w:eastAsia="Calibri" w:hAnsi="Times New Roman"/>
          <w:i/>
          <w:iCs/>
          <w:color w:val="auto"/>
          <w:sz w:val="24"/>
          <w:szCs w:val="24"/>
          <w:shd w:val="clear" w:color="auto" w:fill="FFFFFF"/>
          <w:lang w:eastAsia="en-US" w:bidi="ar-SA"/>
        </w:rPr>
        <w:t>p</w:t>
      </w:r>
      <w:r w:rsidRPr="004C5FD3">
        <w:rPr>
          <w:rFonts w:ascii="Times New Roman" w:eastAsia="Calibri" w:hAnsi="Times New Roman"/>
          <w:color w:val="auto"/>
          <w:sz w:val="24"/>
          <w:szCs w:val="24"/>
          <w:shd w:val="clear" w:color="auto" w:fill="FFFFFF"/>
          <w:lang w:eastAsia="en-US" w:bidi="ar-SA"/>
        </w:rPr>
        <w:t> &lt; .001.</w:t>
      </w:r>
      <w:r w:rsidRPr="004C5FD3">
        <w:rPr>
          <w:rFonts w:ascii="Times New Roman" w:eastAsia="Calibri" w:hAnsi="Times New Roman"/>
          <w:color w:val="auto"/>
          <w:sz w:val="24"/>
          <w:szCs w:val="24"/>
          <w:shd w:val="clear" w:color="auto" w:fill="FFFFFF"/>
          <w:vertAlign w:val="superscript"/>
          <w:lang w:eastAsia="en-US" w:bidi="ar-SA"/>
        </w:rPr>
        <w:footnoteReference w:id="1"/>
      </w:r>
      <w:r w:rsidRPr="004C5FD3">
        <w:rPr>
          <w:rFonts w:ascii="Times New Roman" w:eastAsia="Calibri" w:hAnsi="Times New Roman"/>
          <w:color w:val="auto"/>
          <w:sz w:val="24"/>
          <w:szCs w:val="24"/>
          <w:shd w:val="clear" w:color="auto" w:fill="FFFFFF"/>
          <w:lang w:eastAsia="en-US" w:bidi="ar-SA"/>
        </w:rPr>
        <w:t> The strength of the overall interaction effect was .22 (η</w:t>
      </w:r>
      <w:r w:rsidRPr="004C5FD3">
        <w:rPr>
          <w:rFonts w:ascii="Times New Roman" w:eastAsia="Calibri" w:hAnsi="Times New Roman"/>
          <w:color w:val="auto"/>
          <w:sz w:val="24"/>
          <w:szCs w:val="24"/>
          <w:shd w:val="clear" w:color="auto" w:fill="FFFFFF"/>
          <w:vertAlign w:val="subscript"/>
          <w:lang w:eastAsia="en-US" w:bidi="ar-SA"/>
        </w:rPr>
        <w:t>p</w:t>
      </w:r>
      <w:r w:rsidRPr="004C5FD3">
        <w:rPr>
          <w:rFonts w:ascii="Times New Roman" w:eastAsia="Calibri" w:hAnsi="Times New Roman"/>
          <w:color w:val="auto"/>
          <w:sz w:val="24"/>
          <w:szCs w:val="24"/>
          <w:shd w:val="clear" w:color="auto" w:fill="FFFFFF"/>
          <w:vertAlign w:val="superscript"/>
          <w:lang w:eastAsia="en-US" w:bidi="ar-SA"/>
        </w:rPr>
        <w:t>2</w:t>
      </w:r>
      <w:r w:rsidRPr="004C5FD3">
        <w:rPr>
          <w:rFonts w:ascii="Times New Roman" w:eastAsia="Calibri" w:hAnsi="Times New Roman"/>
          <w:color w:val="auto"/>
          <w:sz w:val="24"/>
          <w:szCs w:val="24"/>
          <w:shd w:val="clear" w:color="auto" w:fill="FFFFFF"/>
          <w:lang w:eastAsia="en-US" w:bidi="ar-SA"/>
        </w:rPr>
        <w:t xml:space="preserve">). Simple main-effects tests revealed statistically significant differences in the response rates for face-to-face courses and </w:t>
      </w:r>
      <w:r w:rsidRPr="004C5FD3">
        <w:rPr>
          <w:rFonts w:ascii="Times New Roman" w:eastAsia="Calibri" w:hAnsi="Times New Roman"/>
          <w:color w:val="auto"/>
          <w:sz w:val="24"/>
          <w:szCs w:val="24"/>
          <w:shd w:val="clear" w:color="auto" w:fill="FFFFFF"/>
          <w:lang w:eastAsia="en-US" w:bidi="ar-SA"/>
        </w:rPr>
        <w:lastRenderedPageBreak/>
        <w:t>online courses for each of the 3 observation years.</w:t>
      </w:r>
      <w:r w:rsidRPr="004C5FD3">
        <w:rPr>
          <w:rFonts w:ascii="Times New Roman" w:eastAsia="Calibri" w:hAnsi="Times New Roman"/>
          <w:color w:val="auto"/>
          <w:sz w:val="24"/>
          <w:szCs w:val="24"/>
          <w:shd w:val="clear" w:color="auto" w:fill="FFFFFF"/>
          <w:vertAlign w:val="superscript"/>
          <w:lang w:eastAsia="en-US" w:bidi="ar-SA"/>
        </w:rPr>
        <w:footnoteReference w:id="2"/>
      </w:r>
      <w:r w:rsidRPr="004C5FD3">
        <w:rPr>
          <w:rFonts w:ascii="Times New Roman" w:eastAsia="Calibri" w:hAnsi="Times New Roman"/>
          <w:color w:val="auto"/>
          <w:sz w:val="24"/>
          <w:szCs w:val="24"/>
          <w:shd w:val="clear" w:color="auto" w:fill="FFFFFF"/>
          <w:lang w:eastAsia="en-US" w:bidi="ar-SA"/>
        </w:rPr>
        <w:t xml:space="preserve"> The greatest differences occurred during Year 1 (</w:t>
      </w:r>
      <w:r w:rsidRPr="004C5FD3">
        <w:rPr>
          <w:rFonts w:ascii="Times New Roman" w:eastAsia="Calibri" w:hAnsi="Times New Roman"/>
          <w:i/>
          <w:iCs/>
          <w:color w:val="auto"/>
          <w:sz w:val="24"/>
          <w:szCs w:val="24"/>
          <w:shd w:val="clear" w:color="auto" w:fill="FFFFFF"/>
          <w:lang w:eastAsia="en-US" w:bidi="ar-SA"/>
        </w:rPr>
        <w:t>p</w:t>
      </w:r>
      <w:r w:rsidRPr="004C5FD3">
        <w:rPr>
          <w:rFonts w:ascii="Times New Roman" w:eastAsia="Calibri" w:hAnsi="Times New Roman"/>
          <w:color w:val="auto"/>
          <w:sz w:val="24"/>
          <w:szCs w:val="24"/>
          <w:shd w:val="clear" w:color="auto" w:fill="FFFFFF"/>
          <w:lang w:eastAsia="en-US" w:bidi="ar-SA"/>
        </w:rPr>
        <w:t> &lt; .001) and Year 2 (</w:t>
      </w:r>
      <w:r w:rsidRPr="004C5FD3">
        <w:rPr>
          <w:rFonts w:ascii="Times New Roman" w:eastAsia="Calibri" w:hAnsi="Times New Roman"/>
          <w:i/>
          <w:iCs/>
          <w:color w:val="auto"/>
          <w:sz w:val="24"/>
          <w:szCs w:val="24"/>
          <w:shd w:val="clear" w:color="auto" w:fill="FFFFFF"/>
          <w:lang w:eastAsia="en-US" w:bidi="ar-SA"/>
        </w:rPr>
        <w:t>p</w:t>
      </w:r>
      <w:r w:rsidRPr="004C5FD3">
        <w:rPr>
          <w:rFonts w:ascii="Times New Roman" w:eastAsia="Calibri" w:hAnsi="Times New Roman"/>
          <w:color w:val="auto"/>
          <w:sz w:val="24"/>
          <w:szCs w:val="24"/>
          <w:shd w:val="clear" w:color="auto" w:fill="FFFFFF"/>
          <w:lang w:eastAsia="en-US" w:bidi="ar-SA"/>
        </w:rPr>
        <w:t> &lt; .001), when evaluations were administered on paper in the classroom for all face-to-face courses and online for all online courses. Although the difference in response rate between face-to-face and online courses during the Year 3 administration was statistically reliable (when both face-to-to-face and online courses were evaluated with online surveys), the effect was small (η</w:t>
      </w:r>
      <w:r w:rsidRPr="004C5FD3">
        <w:rPr>
          <w:rFonts w:ascii="Times New Roman" w:eastAsia="Calibri" w:hAnsi="Times New Roman"/>
          <w:color w:val="auto"/>
          <w:sz w:val="24"/>
          <w:szCs w:val="24"/>
          <w:shd w:val="clear" w:color="auto" w:fill="FFFFFF"/>
          <w:vertAlign w:val="subscript"/>
          <w:lang w:eastAsia="en-US" w:bidi="ar-SA"/>
        </w:rPr>
        <w:t>p</w:t>
      </w:r>
      <w:r w:rsidRPr="004C5FD3">
        <w:rPr>
          <w:rFonts w:ascii="Times New Roman" w:eastAsia="Calibri" w:hAnsi="Times New Roman"/>
          <w:color w:val="auto"/>
          <w:sz w:val="24"/>
          <w:szCs w:val="24"/>
          <w:shd w:val="clear" w:color="auto" w:fill="FFFFFF"/>
          <w:vertAlign w:val="superscript"/>
          <w:lang w:eastAsia="en-US" w:bidi="ar-SA"/>
        </w:rPr>
        <w:t>2</w:t>
      </w:r>
      <w:r w:rsidRPr="004C5FD3">
        <w:rPr>
          <w:rFonts w:ascii="Times New Roman" w:eastAsia="Calibri" w:hAnsi="Times New Roman"/>
          <w:color w:val="auto"/>
          <w:sz w:val="24"/>
          <w:szCs w:val="24"/>
          <w:shd w:val="clear" w:color="auto" w:fill="FFFFFF"/>
          <w:lang w:eastAsia="en-US" w:bidi="ar-SA"/>
        </w:rPr>
        <w:t> = .02). Thus, there was minimal difference in response rate between face-to-face and online courses when evaluations were administered online for all courses. No other factors or interactions included in the analysis were statistically reliable.</w:t>
      </w:r>
    </w:p>
    <w:p w14:paraId="7905257E" w14:textId="77777777" w:rsidR="00470D90" w:rsidRPr="004C5FD3" w:rsidRDefault="00470D90" w:rsidP="004C5FD3">
      <w:pPr>
        <w:pStyle w:val="MDPI51figurecaption"/>
        <w:spacing w:line="240" w:lineRule="auto"/>
        <w:ind w:left="993"/>
        <w:rPr>
          <w:rFonts w:ascii="Times New Roman" w:hAnsi="Times New Roman"/>
          <w:b/>
          <w:sz w:val="24"/>
          <w:szCs w:val="24"/>
        </w:rPr>
      </w:pPr>
      <w:r w:rsidRPr="004C5FD3">
        <w:rPr>
          <w:rFonts w:ascii="Times New Roman" w:hAnsi="Times New Roman"/>
          <w:b/>
          <w:sz w:val="24"/>
          <w:szCs w:val="24"/>
        </w:rPr>
        <w:t>Figure 1</w:t>
      </w:r>
    </w:p>
    <w:p w14:paraId="28257C85" w14:textId="799F8D85" w:rsidR="0074289F" w:rsidRPr="004C5FD3" w:rsidRDefault="00470D90" w:rsidP="004C5FD3">
      <w:pPr>
        <w:pStyle w:val="MDPI51figurecaption"/>
        <w:spacing w:line="240" w:lineRule="auto"/>
        <w:ind w:left="993"/>
        <w:rPr>
          <w:rFonts w:ascii="Times New Roman" w:hAnsi="Times New Roman"/>
          <w:i/>
          <w:iCs/>
          <w:sz w:val="24"/>
          <w:szCs w:val="24"/>
        </w:rPr>
      </w:pPr>
      <w:r w:rsidRPr="004C5FD3">
        <w:rPr>
          <w:rFonts w:ascii="Times New Roman" w:hAnsi="Times New Roman"/>
          <w:i/>
          <w:iCs/>
          <w:sz w:val="24"/>
          <w:szCs w:val="24"/>
        </w:rPr>
        <w:t>This is a figure. Schemes follow the same formatting.</w:t>
      </w:r>
    </w:p>
    <w:p w14:paraId="4126BCDA" w14:textId="210AC239" w:rsidR="0074289F" w:rsidRPr="004C5FD3" w:rsidRDefault="00C53EE9" w:rsidP="004C5FD3">
      <w:pPr>
        <w:pStyle w:val="MDPI52figure"/>
        <w:spacing w:before="120"/>
        <w:ind w:left="993"/>
        <w:jc w:val="left"/>
        <w:rPr>
          <w:rFonts w:ascii="Times New Roman" w:hAnsi="Times New Roman"/>
          <w:b/>
          <w:sz w:val="24"/>
          <w:szCs w:val="24"/>
        </w:rPr>
      </w:pPr>
      <w:r w:rsidRPr="004C5FD3">
        <w:rPr>
          <w:rFonts w:ascii="Times New Roman" w:hAnsi="Times New Roman"/>
          <w:sz w:val="24"/>
          <w:szCs w:val="24"/>
        </w:rPr>
        <w:fldChar w:fldCharType="begin"/>
      </w:r>
      <w:r w:rsidRPr="004C5FD3">
        <w:rPr>
          <w:rFonts w:ascii="Times New Roman" w:hAnsi="Times New Roman"/>
          <w:sz w:val="24"/>
          <w:szCs w:val="24"/>
        </w:rPr>
        <w:instrText xml:space="preserve"> INCLUDEPICTURE "https://cdn.pixabay.com/photo/2017/06/30/03/34/gui-2457113_640.png" \* MERGEFORMATINET </w:instrText>
      </w:r>
      <w:r w:rsidRPr="004C5FD3">
        <w:rPr>
          <w:rFonts w:ascii="Times New Roman" w:hAnsi="Times New Roman"/>
          <w:sz w:val="24"/>
          <w:szCs w:val="24"/>
        </w:rPr>
        <w:fldChar w:fldCharType="separate"/>
      </w:r>
      <w:r w:rsidRPr="004C5FD3">
        <w:rPr>
          <w:rFonts w:ascii="Times New Roman" w:hAnsi="Times New Roman"/>
          <w:noProof/>
          <w:sz w:val="24"/>
          <w:szCs w:val="24"/>
          <w:lang w:val="tr-TR" w:eastAsia="tr-TR" w:bidi="ar-SA"/>
        </w:rPr>
        <mc:AlternateContent>
          <mc:Choice Requires="wps">
            <w:drawing>
              <wp:inline distT="0" distB="0" distL="0" distR="0" wp14:anchorId="1A3D896A" wp14:editId="23B5E353">
                <wp:extent cx="304800" cy="304800"/>
                <wp:effectExtent l="0" t="0" r="0" b="0"/>
                <wp:docPr id="1109269508" name="Dikdörtgen 1" descr="Gui, Arayüz, Internet, Program, Tarayıc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89D10" id="Dikdörtgen 1" o:spid="_x0000_s1026" alt="Gui, Arayüz, Internet, Program, Tarayıc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4C5FD3">
        <w:rPr>
          <w:rFonts w:ascii="Times New Roman" w:hAnsi="Times New Roman"/>
          <w:sz w:val="24"/>
          <w:szCs w:val="24"/>
        </w:rPr>
        <w:fldChar w:fldCharType="end"/>
      </w:r>
      <w:r w:rsidR="00470D90" w:rsidRPr="004C5FD3">
        <w:rPr>
          <w:rFonts w:ascii="Times New Roman" w:hAnsi="Times New Roman"/>
          <w:b/>
          <w:noProof/>
          <w:snapToGrid/>
          <w:sz w:val="24"/>
          <w:szCs w:val="24"/>
          <w:lang w:val="tr-TR" w:eastAsia="tr-TR" w:bidi="ar-SA"/>
          <w14:ligatures w14:val="standardContextual"/>
        </w:rPr>
        <w:drawing>
          <wp:inline distT="0" distB="0" distL="0" distR="0" wp14:anchorId="34C9D10F" wp14:editId="2DFD19A4">
            <wp:extent cx="2266462" cy="1742399"/>
            <wp:effectExtent l="0" t="0" r="0" b="0"/>
            <wp:docPr id="24124904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49049" name="Resim 2412490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0285" cy="1783777"/>
                    </a:xfrm>
                    <a:prstGeom prst="rect">
                      <a:avLst/>
                    </a:prstGeom>
                  </pic:spPr>
                </pic:pic>
              </a:graphicData>
            </a:graphic>
          </wp:inline>
        </w:drawing>
      </w:r>
    </w:p>
    <w:p w14:paraId="750BBE44" w14:textId="77777777" w:rsidR="00470D90" w:rsidRPr="004C5FD3" w:rsidRDefault="00470D90"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The text continues here.</w:t>
      </w:r>
    </w:p>
    <w:p w14:paraId="62C35A6A" w14:textId="77777777" w:rsidR="0074289F" w:rsidRPr="004C5FD3" w:rsidRDefault="0074289F" w:rsidP="004C5FD3">
      <w:pPr>
        <w:pStyle w:val="MDPI51figurecaption"/>
        <w:spacing w:line="240" w:lineRule="auto"/>
        <w:ind w:left="993"/>
        <w:rPr>
          <w:rFonts w:ascii="Times New Roman" w:hAnsi="Times New Roman"/>
          <w:sz w:val="24"/>
          <w:szCs w:val="24"/>
        </w:rPr>
      </w:pPr>
    </w:p>
    <w:p w14:paraId="5E3B51F2" w14:textId="77777777" w:rsidR="00470D90" w:rsidRPr="004C5FD3" w:rsidRDefault="0074289F" w:rsidP="004C5FD3">
      <w:pPr>
        <w:pStyle w:val="MDPI41tablecaption"/>
        <w:spacing w:before="120" w:line="240" w:lineRule="auto"/>
        <w:ind w:left="993"/>
        <w:rPr>
          <w:rFonts w:ascii="Times New Roman" w:hAnsi="Times New Roman" w:cs="Times New Roman"/>
          <w:b/>
          <w:sz w:val="24"/>
          <w:szCs w:val="24"/>
        </w:rPr>
      </w:pPr>
      <w:r w:rsidRPr="004C5FD3">
        <w:rPr>
          <w:rFonts w:ascii="Times New Roman" w:hAnsi="Times New Roman" w:cs="Times New Roman"/>
          <w:b/>
          <w:sz w:val="24"/>
          <w:szCs w:val="24"/>
        </w:rPr>
        <w:t>Table 1</w:t>
      </w:r>
    </w:p>
    <w:p w14:paraId="42400449" w14:textId="2FC2C639" w:rsidR="0074289F" w:rsidRPr="004C5FD3" w:rsidRDefault="0074289F" w:rsidP="004C5FD3">
      <w:pPr>
        <w:pStyle w:val="MDPI41tablecaption"/>
        <w:spacing w:before="120" w:line="240" w:lineRule="auto"/>
        <w:ind w:left="993"/>
        <w:rPr>
          <w:rFonts w:ascii="Times New Roman" w:hAnsi="Times New Roman" w:cs="Times New Roman"/>
          <w:i/>
          <w:iCs/>
          <w:sz w:val="24"/>
          <w:szCs w:val="24"/>
        </w:rPr>
      </w:pPr>
      <w:r w:rsidRPr="004C5FD3">
        <w:rPr>
          <w:rFonts w:ascii="Times New Roman" w:hAnsi="Times New Roman" w:cs="Times New Roman"/>
          <w:i/>
          <w:iCs/>
          <w:sz w:val="24"/>
          <w:szCs w:val="24"/>
        </w:rPr>
        <w:t>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4289F" w:rsidRPr="004C5FD3" w14:paraId="2790D01E" w14:textId="77777777">
        <w:tc>
          <w:tcPr>
            <w:tcW w:w="2619" w:type="dxa"/>
            <w:tcBorders>
              <w:bottom w:val="single" w:sz="4" w:space="0" w:color="auto"/>
            </w:tcBorders>
            <w:shd w:val="clear" w:color="auto" w:fill="auto"/>
            <w:vAlign w:val="center"/>
          </w:tcPr>
          <w:p w14:paraId="2CF13153" w14:textId="77777777" w:rsidR="0074289F" w:rsidRPr="004C5FD3" w:rsidRDefault="0074289F" w:rsidP="004C5FD3">
            <w:pPr>
              <w:pStyle w:val="MDPI42tablebody"/>
              <w:spacing w:before="120" w:line="240" w:lineRule="auto"/>
              <w:ind w:left="993"/>
              <w:rPr>
                <w:rFonts w:ascii="Times New Roman" w:hAnsi="Times New Roman"/>
                <w:b/>
                <w:snapToGrid/>
                <w:sz w:val="24"/>
                <w:szCs w:val="24"/>
              </w:rPr>
            </w:pPr>
            <w:r w:rsidRPr="004C5FD3">
              <w:rPr>
                <w:rFonts w:ascii="Times New Roman" w:hAnsi="Times New Roman"/>
                <w:b/>
                <w:snapToGrid/>
                <w:sz w:val="24"/>
                <w:szCs w:val="24"/>
              </w:rPr>
              <w:t>Title 1</w:t>
            </w:r>
          </w:p>
        </w:tc>
        <w:tc>
          <w:tcPr>
            <w:tcW w:w="2619" w:type="dxa"/>
            <w:tcBorders>
              <w:bottom w:val="single" w:sz="4" w:space="0" w:color="auto"/>
            </w:tcBorders>
            <w:shd w:val="clear" w:color="auto" w:fill="auto"/>
            <w:vAlign w:val="center"/>
          </w:tcPr>
          <w:p w14:paraId="3BFDF799" w14:textId="77777777" w:rsidR="0074289F" w:rsidRPr="004C5FD3" w:rsidRDefault="0074289F" w:rsidP="004C5FD3">
            <w:pPr>
              <w:pStyle w:val="MDPI42tablebody"/>
              <w:spacing w:before="120" w:line="240" w:lineRule="auto"/>
              <w:ind w:left="993"/>
              <w:rPr>
                <w:rFonts w:ascii="Times New Roman" w:hAnsi="Times New Roman"/>
                <w:b/>
                <w:snapToGrid/>
                <w:sz w:val="24"/>
                <w:szCs w:val="24"/>
              </w:rPr>
            </w:pPr>
            <w:r w:rsidRPr="004C5FD3">
              <w:rPr>
                <w:rFonts w:ascii="Times New Roman" w:hAnsi="Times New Roman"/>
                <w:b/>
                <w:snapToGrid/>
                <w:sz w:val="24"/>
                <w:szCs w:val="24"/>
              </w:rPr>
              <w:t>Title 2</w:t>
            </w:r>
          </w:p>
        </w:tc>
        <w:tc>
          <w:tcPr>
            <w:tcW w:w="2619" w:type="dxa"/>
            <w:tcBorders>
              <w:bottom w:val="single" w:sz="4" w:space="0" w:color="auto"/>
            </w:tcBorders>
            <w:shd w:val="clear" w:color="auto" w:fill="auto"/>
            <w:vAlign w:val="center"/>
          </w:tcPr>
          <w:p w14:paraId="19107623" w14:textId="77777777" w:rsidR="0074289F" w:rsidRPr="004C5FD3" w:rsidRDefault="0074289F" w:rsidP="004C5FD3">
            <w:pPr>
              <w:pStyle w:val="MDPI42tablebody"/>
              <w:spacing w:before="120" w:line="240" w:lineRule="auto"/>
              <w:ind w:left="993"/>
              <w:rPr>
                <w:rFonts w:ascii="Times New Roman" w:hAnsi="Times New Roman"/>
                <w:b/>
                <w:snapToGrid/>
                <w:sz w:val="24"/>
                <w:szCs w:val="24"/>
              </w:rPr>
            </w:pPr>
            <w:r w:rsidRPr="004C5FD3">
              <w:rPr>
                <w:rFonts w:ascii="Times New Roman" w:hAnsi="Times New Roman"/>
                <w:b/>
                <w:snapToGrid/>
                <w:sz w:val="24"/>
                <w:szCs w:val="24"/>
              </w:rPr>
              <w:t>Title 3</w:t>
            </w:r>
          </w:p>
        </w:tc>
      </w:tr>
      <w:tr w:rsidR="0074289F" w:rsidRPr="004C5FD3" w14:paraId="61512655" w14:textId="77777777">
        <w:tc>
          <w:tcPr>
            <w:tcW w:w="2619" w:type="dxa"/>
            <w:shd w:val="clear" w:color="auto" w:fill="auto"/>
            <w:vAlign w:val="center"/>
          </w:tcPr>
          <w:p w14:paraId="798CD999"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entry 1</w:t>
            </w:r>
          </w:p>
        </w:tc>
        <w:tc>
          <w:tcPr>
            <w:tcW w:w="2619" w:type="dxa"/>
            <w:shd w:val="clear" w:color="auto" w:fill="auto"/>
            <w:vAlign w:val="center"/>
          </w:tcPr>
          <w:p w14:paraId="2B84C675"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data</w:t>
            </w:r>
          </w:p>
        </w:tc>
        <w:tc>
          <w:tcPr>
            <w:tcW w:w="2619" w:type="dxa"/>
            <w:shd w:val="clear" w:color="auto" w:fill="auto"/>
            <w:vAlign w:val="center"/>
          </w:tcPr>
          <w:p w14:paraId="1FBE445B"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data</w:t>
            </w:r>
          </w:p>
        </w:tc>
      </w:tr>
      <w:tr w:rsidR="0074289F" w:rsidRPr="004C5FD3" w14:paraId="377330E8" w14:textId="77777777">
        <w:tc>
          <w:tcPr>
            <w:tcW w:w="2619" w:type="dxa"/>
            <w:shd w:val="clear" w:color="auto" w:fill="auto"/>
            <w:vAlign w:val="center"/>
          </w:tcPr>
          <w:p w14:paraId="01386B77"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entry 2</w:t>
            </w:r>
          </w:p>
        </w:tc>
        <w:tc>
          <w:tcPr>
            <w:tcW w:w="2619" w:type="dxa"/>
            <w:shd w:val="clear" w:color="auto" w:fill="auto"/>
            <w:vAlign w:val="center"/>
          </w:tcPr>
          <w:p w14:paraId="6C7F6CE0"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data</w:t>
            </w:r>
          </w:p>
        </w:tc>
        <w:tc>
          <w:tcPr>
            <w:tcW w:w="2619" w:type="dxa"/>
            <w:shd w:val="clear" w:color="auto" w:fill="auto"/>
            <w:vAlign w:val="center"/>
          </w:tcPr>
          <w:p w14:paraId="6F80B380" w14:textId="77777777" w:rsidR="0074289F" w:rsidRPr="004C5FD3" w:rsidRDefault="0074289F" w:rsidP="004C5FD3">
            <w:pPr>
              <w:pStyle w:val="MDPI42tablebody"/>
              <w:spacing w:before="120" w:line="240" w:lineRule="auto"/>
              <w:ind w:left="993"/>
              <w:rPr>
                <w:rFonts w:ascii="Times New Roman" w:hAnsi="Times New Roman"/>
                <w:sz w:val="24"/>
                <w:szCs w:val="24"/>
              </w:rPr>
            </w:pPr>
            <w:r w:rsidRPr="004C5FD3">
              <w:rPr>
                <w:rFonts w:ascii="Times New Roman" w:hAnsi="Times New Roman"/>
                <w:sz w:val="24"/>
                <w:szCs w:val="24"/>
              </w:rPr>
              <w:t xml:space="preserve">data </w:t>
            </w:r>
            <w:r w:rsidRPr="004C5FD3">
              <w:rPr>
                <w:rFonts w:ascii="Times New Roman" w:hAnsi="Times New Roman"/>
                <w:sz w:val="24"/>
                <w:szCs w:val="24"/>
                <w:vertAlign w:val="superscript"/>
              </w:rPr>
              <w:t>1</w:t>
            </w:r>
          </w:p>
        </w:tc>
      </w:tr>
    </w:tbl>
    <w:p w14:paraId="5928146A" w14:textId="0A3A5620" w:rsidR="0074289F" w:rsidRPr="004C5FD3" w:rsidRDefault="00470D90" w:rsidP="004C5FD3">
      <w:pPr>
        <w:pStyle w:val="MDPI43tablefooter"/>
        <w:spacing w:before="120" w:line="240" w:lineRule="auto"/>
        <w:ind w:left="993"/>
        <w:rPr>
          <w:rFonts w:ascii="Times New Roman" w:hAnsi="Times New Roman" w:cs="Times New Roman"/>
          <w:sz w:val="24"/>
          <w:szCs w:val="24"/>
        </w:rPr>
      </w:pPr>
      <w:r w:rsidRPr="004C5FD3">
        <w:rPr>
          <w:rFonts w:ascii="Times New Roman" w:hAnsi="Times New Roman" w:cs="Times New Roman"/>
          <w:i/>
          <w:iCs/>
          <w:sz w:val="24"/>
          <w:szCs w:val="24"/>
        </w:rPr>
        <w:t>Note:</w:t>
      </w:r>
      <w:r w:rsidRPr="004C5FD3">
        <w:rPr>
          <w:rFonts w:ascii="Times New Roman" w:hAnsi="Times New Roman" w:cs="Times New Roman"/>
          <w:sz w:val="24"/>
          <w:szCs w:val="24"/>
        </w:rPr>
        <w:t xml:space="preserve"> </w:t>
      </w:r>
      <w:r w:rsidR="0074289F" w:rsidRPr="004C5FD3">
        <w:rPr>
          <w:rFonts w:ascii="Times New Roman" w:hAnsi="Times New Roman" w:cs="Times New Roman"/>
          <w:sz w:val="24"/>
          <w:szCs w:val="24"/>
        </w:rPr>
        <w:t>Tables may have a footer.</w:t>
      </w:r>
    </w:p>
    <w:p w14:paraId="37C83FBE" w14:textId="4E617B95" w:rsidR="0074289F" w:rsidRPr="004C5FD3" w:rsidRDefault="0074289F" w:rsidP="004C5FD3">
      <w:pPr>
        <w:pStyle w:val="MDPI22heading2"/>
        <w:spacing w:before="120" w:line="240" w:lineRule="auto"/>
        <w:ind w:left="993"/>
        <w:rPr>
          <w:rFonts w:ascii="Times New Roman" w:hAnsi="Times New Roman"/>
          <w:sz w:val="24"/>
          <w:szCs w:val="24"/>
        </w:rPr>
      </w:pPr>
    </w:p>
    <w:p w14:paraId="18422CE0" w14:textId="5F8BF3AC"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The text continues here.</w:t>
      </w:r>
    </w:p>
    <w:p w14:paraId="484AAADF" w14:textId="77777777" w:rsidR="00470D90" w:rsidRPr="004C5FD3" w:rsidRDefault="00470D90" w:rsidP="004C5FD3">
      <w:pPr>
        <w:pStyle w:val="MDPI31text"/>
        <w:spacing w:before="120" w:line="240" w:lineRule="auto"/>
        <w:ind w:left="993"/>
        <w:rPr>
          <w:rFonts w:ascii="Times New Roman" w:hAnsi="Times New Roman"/>
          <w:sz w:val="24"/>
          <w:szCs w:val="24"/>
        </w:rPr>
      </w:pPr>
    </w:p>
    <w:p w14:paraId="3DC0407A"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4. Discussion</w:t>
      </w:r>
    </w:p>
    <w:p w14:paraId="13765D84"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A058E0D" w14:textId="77777777" w:rsidR="00C84269" w:rsidRPr="004C5FD3" w:rsidRDefault="00C84269"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highlight w:val="yellow"/>
        </w:rPr>
        <w:lastRenderedPageBreak/>
        <w:t>(Sample)</w:t>
      </w:r>
    </w:p>
    <w:p w14:paraId="51F35173" w14:textId="77777777" w:rsidR="00C84269" w:rsidRPr="004C5FD3" w:rsidRDefault="00C84269" w:rsidP="004C5FD3">
      <w:pPr>
        <w:pStyle w:val="MDPI31text"/>
        <w:spacing w:before="120" w:line="240" w:lineRule="auto"/>
        <w:ind w:left="993"/>
        <w:rPr>
          <w:rFonts w:ascii="Times New Roman" w:eastAsia="Calibri" w:hAnsi="Times New Roman"/>
          <w:color w:val="auto"/>
          <w:sz w:val="24"/>
          <w:szCs w:val="24"/>
          <w:shd w:val="clear" w:color="auto" w:fill="FFFFFF"/>
          <w:lang w:eastAsia="en-US"/>
        </w:rPr>
      </w:pPr>
      <w:r w:rsidRPr="00C84269">
        <w:rPr>
          <w:rFonts w:ascii="Times New Roman" w:eastAsia="Calibri" w:hAnsi="Times New Roman"/>
          <w:color w:val="auto"/>
          <w:sz w:val="24"/>
          <w:szCs w:val="24"/>
          <w:shd w:val="clear" w:color="auto" w:fill="FFFFFF"/>
          <w:lang w:eastAsia="en-US"/>
        </w:rPr>
        <w:t>Online administration of SETs in this study was associated with lower response rates, yet it is curious that online courses experienced a 10% increase in response rate when all courses were evaluated with online forms in Year 3. Online courses had suffered from chronically low response rates in previous years, 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 response rates for online courses continued to lag behind those for face-to-face courses. Differences in response rates for face-to-face and online courses might be attributed to characteristics of the students who enrolled or to differences in the quality of student engagement created in each learning modality. Avery et al. (2006) found that higher performing students (defined as students with higher GPAs) were more likely to complete online SETs.</w:t>
      </w:r>
    </w:p>
    <w:p w14:paraId="727F3376" w14:textId="321E5D70" w:rsidR="00C84269" w:rsidRPr="00C84269" w:rsidRDefault="00C84269" w:rsidP="004C5FD3">
      <w:pPr>
        <w:pStyle w:val="MDPI31text"/>
        <w:spacing w:before="120" w:line="240" w:lineRule="auto"/>
        <w:ind w:left="993"/>
        <w:rPr>
          <w:rFonts w:ascii="Times New Roman" w:hAnsi="Times New Roman"/>
          <w:sz w:val="24"/>
          <w:szCs w:val="24"/>
        </w:rPr>
      </w:pPr>
      <w:r w:rsidRPr="00C84269">
        <w:rPr>
          <w:rFonts w:ascii="Times New Roman" w:eastAsia="Calibri" w:hAnsi="Times New Roman"/>
          <w:color w:val="auto"/>
          <w:sz w:val="24"/>
          <w:szCs w:val="24"/>
          <w:shd w:val="clear" w:color="auto" w:fill="FFFFFF"/>
          <w:lang w:eastAsia="en-US"/>
        </w:rPr>
        <w:t xml:space="preserve">Although the average SET rating was significantly lower in Year 3 than in the previous 2 years, the magnitude of the numeric difference was small (differences ranged from 0.08 to 0.11, based on a 0–4 Likert-like scale). This difference is similar to the differences </w:t>
      </w:r>
      <w:proofErr w:type="spellStart"/>
      <w:r w:rsidRPr="00C84269">
        <w:rPr>
          <w:rFonts w:ascii="Times New Roman" w:eastAsia="Calibri" w:hAnsi="Times New Roman"/>
          <w:color w:val="auto"/>
          <w:sz w:val="24"/>
          <w:szCs w:val="24"/>
          <w:shd w:val="clear" w:color="auto" w:fill="FFFFFF"/>
          <w:lang w:eastAsia="en-US"/>
        </w:rPr>
        <w:t>Risquez</w:t>
      </w:r>
      <w:proofErr w:type="spellEnd"/>
      <w:r w:rsidRPr="00C84269">
        <w:rPr>
          <w:rFonts w:ascii="Times New Roman" w:eastAsia="Calibri" w:hAnsi="Times New Roman"/>
          <w:color w:val="auto"/>
          <w:sz w:val="24"/>
          <w:szCs w:val="24"/>
          <w:shd w:val="clear" w:color="auto" w:fill="FFFFFF"/>
          <w:lang w:eastAsia="en-US"/>
        </w:rPr>
        <w:t xml:space="preserve"> et al. (2015) reported for SET scores after statistically adjusting for the influence of several potential confounding variables. A substantial literature has discussed the appropriate and inappropriate interpretation of SET ratings (Berk, 2013; Boysen, 2015a, 2015b; Boysen et al., 2014; Dewar, 2011; Stark &amp; </w:t>
      </w:r>
      <w:proofErr w:type="spellStart"/>
      <w:r w:rsidRPr="00C84269">
        <w:rPr>
          <w:rFonts w:ascii="Times New Roman" w:eastAsia="Calibri" w:hAnsi="Times New Roman"/>
          <w:color w:val="auto"/>
          <w:sz w:val="24"/>
          <w:szCs w:val="24"/>
          <w:shd w:val="clear" w:color="auto" w:fill="FFFFFF"/>
          <w:lang w:eastAsia="en-US"/>
        </w:rPr>
        <w:t>Freishtat</w:t>
      </w:r>
      <w:proofErr w:type="spellEnd"/>
      <w:r w:rsidRPr="00C84269">
        <w:rPr>
          <w:rFonts w:ascii="Times New Roman" w:eastAsia="Calibri" w:hAnsi="Times New Roman"/>
          <w:color w:val="auto"/>
          <w:sz w:val="24"/>
          <w:szCs w:val="24"/>
          <w:shd w:val="clear" w:color="auto" w:fill="FFFFFF"/>
          <w:lang w:eastAsia="en-US"/>
        </w:rPr>
        <w:t>, 2014).</w:t>
      </w:r>
    </w:p>
    <w:p w14:paraId="29F9D66A" w14:textId="14E620CB" w:rsidR="00C84269" w:rsidRDefault="00C84269" w:rsidP="004C5FD3">
      <w:pPr>
        <w:pStyle w:val="MDPI31text"/>
        <w:spacing w:before="120" w:line="240" w:lineRule="auto"/>
        <w:ind w:left="993"/>
        <w:rPr>
          <w:rFonts w:ascii="Times New Roman" w:eastAsia="Calibri" w:hAnsi="Times New Roman"/>
          <w:snapToGrid/>
          <w:color w:val="auto"/>
          <w:sz w:val="24"/>
          <w:szCs w:val="24"/>
          <w:shd w:val="clear" w:color="auto" w:fill="FFFFFF"/>
          <w:lang w:eastAsia="en-US" w:bidi="ar-SA"/>
        </w:rPr>
      </w:pPr>
      <w:r w:rsidRPr="004C5FD3">
        <w:rPr>
          <w:rFonts w:ascii="Times New Roman" w:eastAsia="Calibri" w:hAnsi="Times New Roman"/>
          <w:snapToGrid/>
          <w:color w:val="auto"/>
          <w:sz w:val="24"/>
          <w:szCs w:val="24"/>
          <w:shd w:val="clear" w:color="auto" w:fill="FFFFFF"/>
          <w:lang w:eastAsia="en-US" w:bidi="ar-SA"/>
        </w:rPr>
        <w:t>Faculty have often raised concerns about the potential variability of SET scores due to low response rates and thus small sample sizes. However, our analysis indicated that classes with high response rates produced equally variable SET scores as did classes with low response rates. Reviewers should take extra care when they interpret SET scores. Decision makers often ignore questions about whether means derived from small samples accurately represent the population mean (Tversky &amp; Kahneman, 1971).</w:t>
      </w:r>
      <w:r w:rsidRPr="004C5FD3" w:rsidDel="001C2344">
        <w:rPr>
          <w:rFonts w:ascii="Times New Roman" w:eastAsia="Calibri" w:hAnsi="Times New Roman"/>
          <w:snapToGrid/>
          <w:color w:val="auto"/>
          <w:sz w:val="24"/>
          <w:szCs w:val="24"/>
          <w:shd w:val="clear" w:color="auto" w:fill="FFFFFF"/>
          <w:lang w:eastAsia="en-US" w:bidi="ar-SA"/>
        </w:rPr>
        <w:t xml:space="preserve"> </w:t>
      </w:r>
      <w:r w:rsidRPr="004C5FD3">
        <w:rPr>
          <w:rFonts w:ascii="Times New Roman" w:eastAsia="Calibri" w:hAnsi="Times New Roman"/>
          <w:snapToGrid/>
          <w:color w:val="auto"/>
          <w:sz w:val="24"/>
          <w:szCs w:val="24"/>
          <w:shd w:val="clear" w:color="auto" w:fill="FFFFFF"/>
          <w:lang w:eastAsia="en-US" w:bidi="ar-SA"/>
        </w:rPr>
        <w:t>Reviewers frequently treat all numeric differences as if they were equally meaningful as measures of true differences and give them credibility even after receiving explicit warnings that these differences are not meaningful (Boysen, 2015a, 2015b).</w:t>
      </w:r>
    </w:p>
    <w:p w14:paraId="71E2392E" w14:textId="77777777" w:rsidR="00354200" w:rsidRPr="004C5FD3" w:rsidRDefault="00354200" w:rsidP="004C5FD3">
      <w:pPr>
        <w:pStyle w:val="MDPI31text"/>
        <w:spacing w:before="120" w:line="240" w:lineRule="auto"/>
        <w:ind w:left="993"/>
        <w:rPr>
          <w:rFonts w:ascii="Times New Roman" w:hAnsi="Times New Roman"/>
          <w:sz w:val="24"/>
          <w:szCs w:val="24"/>
        </w:rPr>
      </w:pPr>
    </w:p>
    <w:p w14:paraId="3EEE5896"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5. Conclusions</w:t>
      </w:r>
    </w:p>
    <w:p w14:paraId="58C93ED8" w14:textId="77777777" w:rsidR="0074289F"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This section is not mandatory but can be added to the manuscript if the discussion is unusually long or complex.</w:t>
      </w:r>
    </w:p>
    <w:p w14:paraId="59E743E9" w14:textId="77777777" w:rsidR="00354200" w:rsidRPr="004C5FD3" w:rsidRDefault="00354200" w:rsidP="004C5FD3">
      <w:pPr>
        <w:pStyle w:val="MDPI31text"/>
        <w:spacing w:before="120" w:line="240" w:lineRule="auto"/>
        <w:ind w:left="993"/>
        <w:rPr>
          <w:rFonts w:ascii="Times New Roman" w:hAnsi="Times New Roman"/>
          <w:sz w:val="24"/>
          <w:szCs w:val="24"/>
        </w:rPr>
      </w:pPr>
    </w:p>
    <w:p w14:paraId="3B7CC1D4" w14:textId="77777777" w:rsidR="0074289F" w:rsidRPr="004C5FD3" w:rsidRDefault="0074289F" w:rsidP="006249E9">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6. Patents</w:t>
      </w:r>
    </w:p>
    <w:p w14:paraId="3C24C84B"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This section is not mandatory but may be added if there are patents resulting from the work reported in this manuscript.</w:t>
      </w:r>
    </w:p>
    <w:p w14:paraId="6A24BCC3"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 xml:space="preserve">Supplementary Materials: </w:t>
      </w:r>
      <w:r w:rsidRPr="004C5FD3">
        <w:rPr>
          <w:rFonts w:ascii="Times New Roman" w:hAnsi="Times New Roman"/>
          <w:sz w:val="24"/>
          <w:szCs w:val="24"/>
        </w:rPr>
        <w:t>The following supporting information can be downloaded at: www.mdpi.com/xxx/s1, Figure S1: title; Table S1: title; Video S1: title.</w:t>
      </w:r>
    </w:p>
    <w:p w14:paraId="1E6A64AD" w14:textId="5EE8C359"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Author Contributions:</w:t>
      </w:r>
      <w:r w:rsidRPr="004C5FD3">
        <w:rPr>
          <w:rFonts w:ascii="Times New Roman" w:hAnsi="Times New Roman"/>
          <w:sz w:val="24"/>
          <w:szCs w:val="24"/>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w:t>
      </w:r>
      <w:r w:rsidRPr="004C5FD3">
        <w:rPr>
          <w:rFonts w:ascii="Times New Roman" w:hAnsi="Times New Roman"/>
          <w:sz w:val="24"/>
          <w:szCs w:val="24"/>
        </w:rPr>
        <w:lastRenderedPageBreak/>
        <w:t xml:space="preserve">X.X.; visualization, X.X.; supervision, X.X.; project administration, X.X.; funding acquisition, Y.Y. All authors have read and agreed to the published version of the manuscript.” </w:t>
      </w:r>
    </w:p>
    <w:p w14:paraId="72A50089"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Funding:</w:t>
      </w:r>
      <w:r w:rsidRPr="004C5FD3">
        <w:rPr>
          <w:rFonts w:ascii="Times New Roman" w:hAnsi="Times New Roman"/>
          <w:sz w:val="24"/>
          <w:szCs w:val="24"/>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F1270BF" w14:textId="77777777" w:rsidR="0074289F" w:rsidRPr="004C5FD3" w:rsidRDefault="0074289F" w:rsidP="004C5FD3">
      <w:pPr>
        <w:pStyle w:val="MDPI62BackMatter"/>
        <w:spacing w:before="120" w:line="240" w:lineRule="auto"/>
        <w:ind w:left="993"/>
        <w:rPr>
          <w:rFonts w:ascii="Times New Roman" w:hAnsi="Times New Roman"/>
          <w:b/>
          <w:sz w:val="24"/>
          <w:szCs w:val="24"/>
        </w:rPr>
      </w:pPr>
      <w:bookmarkStart w:id="1" w:name="_Hlk89945590"/>
      <w:bookmarkStart w:id="2" w:name="_Hlk60054323"/>
      <w:r w:rsidRPr="004C5FD3">
        <w:rPr>
          <w:rFonts w:ascii="Times New Roman" w:hAnsi="Times New Roman"/>
          <w:b/>
          <w:sz w:val="24"/>
          <w:szCs w:val="24"/>
        </w:rPr>
        <w:t xml:space="preserve">Institutional Review Board Statement: </w:t>
      </w:r>
      <w:r w:rsidRPr="004C5FD3">
        <w:rPr>
          <w:rFonts w:ascii="Times New Roman" w:hAnsi="Times New Roman"/>
          <w:sz w:val="24"/>
          <w:szCs w:val="24"/>
        </w:rP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1"/>
    <w:p w14:paraId="417C154C" w14:textId="77777777" w:rsidR="0074289F" w:rsidRPr="004C5FD3" w:rsidRDefault="0074289F" w:rsidP="004C5FD3">
      <w:pPr>
        <w:pStyle w:val="MDPI62BackMatter"/>
        <w:spacing w:before="120" w:after="0" w:line="240" w:lineRule="auto"/>
        <w:ind w:left="993"/>
        <w:rPr>
          <w:rFonts w:ascii="Times New Roman" w:hAnsi="Times New Roman"/>
          <w:sz w:val="24"/>
          <w:szCs w:val="24"/>
        </w:rPr>
      </w:pPr>
      <w:r w:rsidRPr="004C5FD3">
        <w:rPr>
          <w:rFonts w:ascii="Times New Roman" w:hAnsi="Times New Roman"/>
          <w:b/>
          <w:sz w:val="24"/>
          <w:szCs w:val="24"/>
        </w:rPr>
        <w:t xml:space="preserve">Informed Consent Statement: </w:t>
      </w:r>
      <w:r w:rsidRPr="004C5FD3">
        <w:rPr>
          <w:rFonts w:ascii="Times New Roman" w:hAnsi="Times New Roman"/>
          <w:sz w:val="24"/>
          <w:szCs w:val="24"/>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5049CA24" w14:textId="77777777" w:rsidR="0074289F" w:rsidRPr="004C5FD3" w:rsidRDefault="0074289F" w:rsidP="004C5FD3">
      <w:pPr>
        <w:pStyle w:val="MDPI62BackMatter"/>
        <w:spacing w:before="120" w:line="240" w:lineRule="auto"/>
        <w:ind w:left="993" w:firstLine="425"/>
        <w:rPr>
          <w:rFonts w:ascii="Times New Roman" w:hAnsi="Times New Roman"/>
          <w:sz w:val="24"/>
          <w:szCs w:val="24"/>
        </w:rPr>
      </w:pPr>
      <w:r w:rsidRPr="004C5FD3">
        <w:rPr>
          <w:rFonts w:ascii="Times New Roman" w:hAnsi="Times New Roman"/>
          <w:sz w:val="24"/>
          <w:szCs w:val="24"/>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2"/>
    <w:p w14:paraId="635203CC"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Acknowledgments:</w:t>
      </w:r>
      <w:r w:rsidRPr="004C5FD3">
        <w:rPr>
          <w:rFonts w:ascii="Times New Roman" w:hAnsi="Times New Roman"/>
          <w:sz w:val="24"/>
          <w:szCs w:val="24"/>
        </w:rPr>
        <w:t xml:space="preserve"> In this section, you can acknowledge any support given which is not covered by the author contribution or funding sections. This may include administrative and technical support, or donations in kind (e.g., materials used for experiments).</w:t>
      </w:r>
    </w:p>
    <w:p w14:paraId="5C6884E5" w14:textId="77777777" w:rsidR="0074289F" w:rsidRPr="004C5FD3" w:rsidRDefault="0074289F" w:rsidP="004C5FD3">
      <w:pPr>
        <w:pStyle w:val="MDPI62BackMatter"/>
        <w:spacing w:before="120" w:line="240" w:lineRule="auto"/>
        <w:ind w:left="993"/>
        <w:rPr>
          <w:rFonts w:ascii="Times New Roman" w:hAnsi="Times New Roman"/>
          <w:sz w:val="24"/>
          <w:szCs w:val="24"/>
        </w:rPr>
      </w:pPr>
      <w:r w:rsidRPr="004C5FD3">
        <w:rPr>
          <w:rFonts w:ascii="Times New Roman" w:hAnsi="Times New Roman"/>
          <w:b/>
          <w:sz w:val="24"/>
          <w:szCs w:val="24"/>
        </w:rPr>
        <w:t>Conflicts of Interest:</w:t>
      </w:r>
      <w:r w:rsidRPr="004C5FD3">
        <w:rPr>
          <w:rFonts w:ascii="Times New Roman" w:hAnsi="Times New Roman"/>
          <w:sz w:val="24"/>
          <w:szCs w:val="24"/>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0BF3297" w14:textId="77777777" w:rsidR="0074289F" w:rsidRPr="004C5FD3" w:rsidRDefault="0074289F" w:rsidP="004C5FD3">
      <w:pPr>
        <w:adjustRightInd w:val="0"/>
        <w:snapToGrid w:val="0"/>
        <w:spacing w:before="120" w:after="60" w:line="240" w:lineRule="auto"/>
        <w:ind w:left="993"/>
        <w:rPr>
          <w:rFonts w:ascii="Times New Roman" w:hAnsi="Times New Roman"/>
          <w:b/>
          <w:bCs/>
          <w:sz w:val="24"/>
          <w:szCs w:val="24"/>
          <w:lang w:bidi="en-US"/>
        </w:rPr>
      </w:pPr>
      <w:r w:rsidRPr="004C5FD3">
        <w:rPr>
          <w:rFonts w:ascii="Times New Roman" w:hAnsi="Times New Roman"/>
          <w:b/>
          <w:bCs/>
          <w:sz w:val="24"/>
          <w:szCs w:val="24"/>
          <w:lang w:bidi="en-US"/>
        </w:rPr>
        <w:t>Appendix A</w:t>
      </w:r>
    </w:p>
    <w:p w14:paraId="320485D3"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28EC79E" w14:textId="77777777" w:rsidR="0074289F" w:rsidRPr="004C5FD3" w:rsidRDefault="0074289F" w:rsidP="004C5FD3">
      <w:pPr>
        <w:adjustRightInd w:val="0"/>
        <w:snapToGrid w:val="0"/>
        <w:spacing w:before="120" w:after="60" w:line="240" w:lineRule="auto"/>
        <w:ind w:left="993"/>
        <w:rPr>
          <w:rFonts w:ascii="Times New Roman" w:hAnsi="Times New Roman"/>
          <w:b/>
          <w:bCs/>
          <w:sz w:val="24"/>
          <w:szCs w:val="24"/>
          <w:lang w:bidi="en-US"/>
        </w:rPr>
      </w:pPr>
      <w:r w:rsidRPr="004C5FD3">
        <w:rPr>
          <w:rFonts w:ascii="Times New Roman" w:hAnsi="Times New Roman"/>
          <w:b/>
          <w:bCs/>
          <w:sz w:val="24"/>
          <w:szCs w:val="24"/>
          <w:lang w:bidi="en-US"/>
        </w:rPr>
        <w:t>Appendix B</w:t>
      </w:r>
    </w:p>
    <w:p w14:paraId="6A8CDBAD" w14:textId="77777777" w:rsidR="0074289F" w:rsidRPr="004C5FD3" w:rsidRDefault="0074289F" w:rsidP="004C5FD3">
      <w:pPr>
        <w:pStyle w:val="MDPI31text"/>
        <w:spacing w:before="120" w:line="240" w:lineRule="auto"/>
        <w:ind w:left="993"/>
        <w:rPr>
          <w:rFonts w:ascii="Times New Roman" w:hAnsi="Times New Roman"/>
          <w:sz w:val="24"/>
          <w:szCs w:val="24"/>
        </w:rPr>
      </w:pPr>
      <w:r w:rsidRPr="004C5FD3">
        <w:rPr>
          <w:rFonts w:ascii="Times New Roman" w:hAnsi="Times New Roman"/>
          <w:sz w:val="24"/>
          <w:szCs w:val="24"/>
        </w:rPr>
        <w:lastRenderedPageBreak/>
        <w:t>All appendix sections must be cited in the main text. In the appendices, Figures, Tables, etc. should be labeled starting with “A”—e.g., Figure A1, Figure A2, etc.</w:t>
      </w:r>
    </w:p>
    <w:p w14:paraId="25D28540" w14:textId="77777777" w:rsidR="00C84269" w:rsidRPr="004C5FD3" w:rsidRDefault="00C84269" w:rsidP="004C5FD3">
      <w:pPr>
        <w:pStyle w:val="MDPI21heading1"/>
        <w:spacing w:before="120" w:line="240" w:lineRule="auto"/>
        <w:ind w:left="993"/>
        <w:jc w:val="center"/>
        <w:rPr>
          <w:rFonts w:ascii="Times New Roman" w:hAnsi="Times New Roman"/>
          <w:sz w:val="24"/>
          <w:szCs w:val="24"/>
        </w:rPr>
      </w:pPr>
    </w:p>
    <w:p w14:paraId="38D46F9D" w14:textId="57B3BFD0" w:rsidR="0074289F" w:rsidRPr="004C5FD3" w:rsidRDefault="0074289F" w:rsidP="004C5FD3">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rPr>
        <w:t>References</w:t>
      </w:r>
    </w:p>
    <w:p w14:paraId="2193CDF1" w14:textId="34979315" w:rsidR="00C84269" w:rsidRPr="004C5FD3" w:rsidRDefault="00C84269" w:rsidP="004C5FD3">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highlight w:val="yellow"/>
        </w:rPr>
        <w:t xml:space="preserve">Citations and references should be prepared according to APA </w:t>
      </w:r>
      <w:r w:rsidR="005F50DB">
        <w:rPr>
          <w:rFonts w:ascii="Times New Roman" w:hAnsi="Times New Roman"/>
          <w:sz w:val="24"/>
          <w:szCs w:val="24"/>
          <w:highlight w:val="yellow"/>
        </w:rPr>
        <w:t>Stayle</w:t>
      </w:r>
      <w:r w:rsidRPr="004C5FD3">
        <w:rPr>
          <w:rFonts w:ascii="Times New Roman" w:hAnsi="Times New Roman"/>
          <w:sz w:val="24"/>
          <w:szCs w:val="24"/>
          <w:highlight w:val="yellow"/>
        </w:rPr>
        <w:t xml:space="preserve"> standards.</w:t>
      </w:r>
    </w:p>
    <w:p w14:paraId="1EDAD0A7" w14:textId="2B6ABD73" w:rsidR="00C84269" w:rsidRPr="004C5FD3" w:rsidRDefault="00C84269" w:rsidP="004C5FD3">
      <w:pPr>
        <w:pStyle w:val="MDPI21heading1"/>
        <w:spacing w:before="120" w:line="240" w:lineRule="auto"/>
        <w:ind w:left="993"/>
        <w:jc w:val="center"/>
        <w:rPr>
          <w:rFonts w:ascii="Times New Roman" w:hAnsi="Times New Roman"/>
          <w:sz w:val="24"/>
          <w:szCs w:val="24"/>
        </w:rPr>
      </w:pPr>
      <w:r w:rsidRPr="004C5FD3">
        <w:rPr>
          <w:rFonts w:ascii="Times New Roman" w:hAnsi="Times New Roman"/>
          <w:sz w:val="24"/>
          <w:szCs w:val="24"/>
          <w:highlight w:val="yellow"/>
        </w:rPr>
        <w:t>(Sample)</w:t>
      </w:r>
    </w:p>
    <w:p w14:paraId="1CC6E9B3"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Avery, R. J., Bryant, W. K., </w:t>
      </w:r>
      <w:proofErr w:type="spellStart"/>
      <w:r w:rsidRPr="00435279">
        <w:rPr>
          <w:rFonts w:ascii="Times New Roman" w:eastAsia="Calibri" w:hAnsi="Times New Roman"/>
          <w:noProof w:val="0"/>
          <w:color w:val="auto"/>
          <w:shd w:val="clear" w:color="auto" w:fill="FFFFFF"/>
          <w:lang w:eastAsia="en-US"/>
        </w:rPr>
        <w:t>Mathios</w:t>
      </w:r>
      <w:proofErr w:type="spellEnd"/>
      <w:r w:rsidRPr="00435279">
        <w:rPr>
          <w:rFonts w:ascii="Times New Roman" w:eastAsia="Calibri" w:hAnsi="Times New Roman"/>
          <w:noProof w:val="0"/>
          <w:color w:val="auto"/>
          <w:shd w:val="clear" w:color="auto" w:fill="FFFFFF"/>
          <w:lang w:eastAsia="en-US"/>
        </w:rPr>
        <w:t xml:space="preserve">, A., Kang, H., &amp; Bell, D. (2006). Electronic course evaluations: Does an online delivery system influence student </w:t>
      </w:r>
      <w:proofErr w:type="gramStart"/>
      <w:r w:rsidRPr="00435279">
        <w:rPr>
          <w:rFonts w:ascii="Times New Roman" w:eastAsia="Calibri" w:hAnsi="Times New Roman"/>
          <w:noProof w:val="0"/>
          <w:color w:val="auto"/>
          <w:shd w:val="clear" w:color="auto" w:fill="FFFFFF"/>
          <w:lang w:eastAsia="en-US"/>
        </w:rPr>
        <w:t>evaluations</w:t>
      </w:r>
      <w:proofErr w:type="gramEnd"/>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The Journal of Economic Education</w:t>
      </w:r>
      <w:r w:rsidRPr="00435279">
        <w:rPr>
          <w:rFonts w:ascii="Times New Roman" w:eastAsia="Calibri" w:hAnsi="Times New Roman"/>
          <w:noProof w:val="0"/>
          <w:color w:val="auto"/>
          <w:shd w:val="clear" w:color="auto" w:fill="FFFFFF"/>
          <w:lang w:eastAsia="en-US"/>
        </w:rPr>
        <w:t>,</w:t>
      </w:r>
      <w:r w:rsidRPr="00435279">
        <w:rPr>
          <w:rFonts w:ascii="Times New Roman" w:eastAsia="Calibri" w:hAnsi="Times New Roman"/>
          <w:i/>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37</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21–37. </w:t>
      </w:r>
      <w:hyperlink r:id="rId10" w:history="1">
        <w:r w:rsidRPr="00435279">
          <w:rPr>
            <w:rFonts w:ascii="Times New Roman" w:eastAsia="Calibri" w:hAnsi="Times New Roman"/>
            <w:noProof w:val="0"/>
            <w:color w:val="0563C1"/>
            <w:u w:val="single"/>
            <w:shd w:val="clear" w:color="auto" w:fill="FFFFFF"/>
            <w:lang w:eastAsia="en-US"/>
          </w:rPr>
          <w:t>https://doi.org/10.3200/JECE.37.1.21-37</w:t>
        </w:r>
      </w:hyperlink>
    </w:p>
    <w:p w14:paraId="16002A9B"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Berk, R. A. (2012). Top 20 strategies to increase the online response rates of student rating scales. </w:t>
      </w:r>
      <w:r w:rsidRPr="00435279">
        <w:rPr>
          <w:rFonts w:ascii="Times New Roman" w:eastAsia="Calibri" w:hAnsi="Times New Roman"/>
          <w:i/>
          <w:iCs/>
          <w:noProof w:val="0"/>
          <w:color w:val="auto"/>
          <w:shd w:val="clear" w:color="auto" w:fill="FFFFFF"/>
          <w:lang w:eastAsia="en-US"/>
        </w:rPr>
        <w:t>International Journal of Technology in Teaching and Learning</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8</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98–107.</w:t>
      </w:r>
    </w:p>
    <w:p w14:paraId="1F6F471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Berk, R. A. (2013). </w:t>
      </w:r>
      <w:r w:rsidRPr="00435279">
        <w:rPr>
          <w:rFonts w:ascii="Times New Roman" w:eastAsia="Calibri" w:hAnsi="Times New Roman"/>
          <w:i/>
          <w:iCs/>
          <w:noProof w:val="0"/>
          <w:color w:val="auto"/>
          <w:shd w:val="clear" w:color="auto" w:fill="FFFFFF"/>
          <w:lang w:eastAsia="en-US"/>
        </w:rPr>
        <w:t>Top 10 flashpoints in student ratings and the evaluation of teaching</w:t>
      </w:r>
      <w:r w:rsidRPr="00435279">
        <w:rPr>
          <w:rFonts w:ascii="Times New Roman" w:eastAsia="Calibri" w:hAnsi="Times New Roman"/>
          <w:noProof w:val="0"/>
          <w:color w:val="auto"/>
          <w:shd w:val="clear" w:color="auto" w:fill="FFFFFF"/>
          <w:lang w:eastAsia="en-US"/>
        </w:rPr>
        <w:t>. Stylus.</w:t>
      </w:r>
    </w:p>
    <w:p w14:paraId="0B06FB79"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Boysen, G. A. (2015a). Preventing the overinterpretation of small mean differences in student evaluations of teaching: An evaluation of warning effectiveness. </w:t>
      </w:r>
      <w:r w:rsidRPr="00435279">
        <w:rPr>
          <w:rFonts w:ascii="Times New Roman" w:eastAsia="Calibri" w:hAnsi="Times New Roman"/>
          <w:i/>
          <w:iCs/>
          <w:noProof w:val="0"/>
          <w:color w:val="auto"/>
          <w:shd w:val="clear" w:color="auto" w:fill="FFFFFF"/>
          <w:lang w:eastAsia="en-US"/>
        </w:rPr>
        <w:t>Scholarship of Teaching and Learning in Psychology</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1</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269–282.</w:t>
      </w:r>
      <w:r w:rsidRPr="00435279">
        <w:rPr>
          <w:rFonts w:ascii="Times New Roman" w:eastAsia="Calibri" w:hAnsi="Times New Roman"/>
          <w:noProof w:val="0"/>
          <w:color w:val="auto"/>
          <w:u w:val="single"/>
          <w:shd w:val="clear" w:color="auto" w:fill="FFFFFF"/>
          <w:lang w:eastAsia="en-US"/>
        </w:rPr>
        <w:t xml:space="preserve"> </w:t>
      </w:r>
      <w:hyperlink r:id="rId11" w:history="1">
        <w:r w:rsidRPr="00435279">
          <w:rPr>
            <w:rFonts w:ascii="Times New Roman" w:eastAsia="Calibri" w:hAnsi="Times New Roman"/>
            <w:noProof w:val="0"/>
            <w:color w:val="0563C1"/>
            <w:u w:val="single"/>
            <w:shd w:val="clear" w:color="auto" w:fill="FFFFFF"/>
            <w:lang w:eastAsia="en-US"/>
          </w:rPr>
          <w:t>https://doi.org/10.1037/stl0000042</w:t>
        </w:r>
      </w:hyperlink>
    </w:p>
    <w:p w14:paraId="25EA1AB0"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val="en" w:eastAsia="en-US"/>
        </w:rPr>
      </w:pPr>
      <w:r w:rsidRPr="00435279">
        <w:rPr>
          <w:rFonts w:ascii="Times New Roman" w:eastAsia="Calibri" w:hAnsi="Times New Roman"/>
          <w:noProof w:val="0"/>
          <w:color w:val="auto"/>
          <w:shd w:val="clear" w:color="auto" w:fill="FFFFFF"/>
          <w:lang w:eastAsia="en-US"/>
        </w:rPr>
        <w:t xml:space="preserve">Boysen, G. A. (2015b). Significant interpretation of small mean differences in student evaluations of teaching despite explicit warning to avoid overinterpretation. </w:t>
      </w:r>
      <w:r w:rsidRPr="00435279">
        <w:rPr>
          <w:rFonts w:ascii="Times New Roman" w:eastAsia="Calibri" w:hAnsi="Times New Roman"/>
          <w:i/>
          <w:iCs/>
          <w:noProof w:val="0"/>
          <w:color w:val="auto"/>
          <w:shd w:val="clear" w:color="auto" w:fill="FFFFFF"/>
          <w:lang w:eastAsia="en-US"/>
        </w:rPr>
        <w:t>Scholarship of Teaching and Learning in Psychology</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1</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xml:space="preserve">, 150–162. </w:t>
      </w:r>
      <w:hyperlink r:id="rId12" w:history="1">
        <w:r w:rsidRPr="00435279">
          <w:rPr>
            <w:rFonts w:ascii="Times New Roman" w:eastAsia="Calibri" w:hAnsi="Times New Roman"/>
            <w:noProof w:val="0"/>
            <w:color w:val="0563C1"/>
            <w:u w:val="single"/>
            <w:shd w:val="clear" w:color="auto" w:fill="FFFFFF"/>
            <w:lang w:val="en" w:eastAsia="en-US"/>
          </w:rPr>
          <w:t>https://doi.org/10.1037/stl0000017</w:t>
        </w:r>
      </w:hyperlink>
    </w:p>
    <w:p w14:paraId="210EA19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Boysen, G. A., Kelly, T. J., </w:t>
      </w:r>
      <w:proofErr w:type="spellStart"/>
      <w:r w:rsidRPr="00435279">
        <w:rPr>
          <w:rFonts w:ascii="Times New Roman" w:eastAsia="Calibri" w:hAnsi="Times New Roman"/>
          <w:noProof w:val="0"/>
          <w:color w:val="auto"/>
          <w:shd w:val="clear" w:color="auto" w:fill="FFFFFF"/>
          <w:lang w:eastAsia="en-US"/>
        </w:rPr>
        <w:t>Raesly</w:t>
      </w:r>
      <w:proofErr w:type="spellEnd"/>
      <w:r w:rsidRPr="00435279">
        <w:rPr>
          <w:rFonts w:ascii="Times New Roman" w:eastAsia="Calibri" w:hAnsi="Times New Roman"/>
          <w:noProof w:val="0"/>
          <w:color w:val="auto"/>
          <w:shd w:val="clear" w:color="auto" w:fill="FFFFFF"/>
          <w:lang w:eastAsia="en-US"/>
        </w:rPr>
        <w:t xml:space="preserve">, H. N., &amp; </w:t>
      </w:r>
      <w:proofErr w:type="spellStart"/>
      <w:r w:rsidRPr="00435279">
        <w:rPr>
          <w:rFonts w:ascii="Times New Roman" w:eastAsia="Calibri" w:hAnsi="Times New Roman"/>
          <w:noProof w:val="0"/>
          <w:color w:val="auto"/>
          <w:shd w:val="clear" w:color="auto" w:fill="FFFFFF"/>
          <w:lang w:eastAsia="en-US"/>
        </w:rPr>
        <w:t>Casner</w:t>
      </w:r>
      <w:proofErr w:type="spellEnd"/>
      <w:r w:rsidRPr="00435279">
        <w:rPr>
          <w:rFonts w:ascii="Times New Roman" w:eastAsia="Calibri" w:hAnsi="Times New Roman"/>
          <w:noProof w:val="0"/>
          <w:color w:val="auto"/>
          <w:shd w:val="clear" w:color="auto" w:fill="FFFFFF"/>
          <w:lang w:eastAsia="en-US"/>
        </w:rPr>
        <w:t xml:space="preserve">, R. W. (2014). The (mis)interpretation of teaching evaluations by college faculty and administrators.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39</w:t>
      </w:r>
      <w:r w:rsidRPr="00435279">
        <w:rPr>
          <w:rFonts w:ascii="Times New Roman" w:eastAsia="Calibri" w:hAnsi="Times New Roman"/>
          <w:iCs/>
          <w:noProof w:val="0"/>
          <w:color w:val="auto"/>
          <w:shd w:val="clear" w:color="auto" w:fill="FFFFFF"/>
          <w:lang w:eastAsia="en-US"/>
        </w:rPr>
        <w:t>(6)</w:t>
      </w:r>
      <w:r w:rsidRPr="00435279">
        <w:rPr>
          <w:rFonts w:ascii="Times New Roman" w:eastAsia="Calibri" w:hAnsi="Times New Roman"/>
          <w:noProof w:val="0"/>
          <w:color w:val="auto"/>
          <w:shd w:val="clear" w:color="auto" w:fill="FFFFFF"/>
          <w:lang w:eastAsia="en-US"/>
        </w:rPr>
        <w:t xml:space="preserve">, 641–656. </w:t>
      </w:r>
      <w:hyperlink r:id="rId13" w:history="1">
        <w:r w:rsidRPr="00435279">
          <w:rPr>
            <w:rFonts w:ascii="Times New Roman" w:eastAsia="Calibri" w:hAnsi="Times New Roman"/>
            <w:noProof w:val="0"/>
            <w:color w:val="0563C1"/>
            <w:u w:val="single"/>
            <w:shd w:val="clear" w:color="auto" w:fill="FFFFFF"/>
            <w:lang w:eastAsia="en-US"/>
          </w:rPr>
          <w:t>https://doi.org/10.1080/02602938.2013.860950</w:t>
        </w:r>
      </w:hyperlink>
    </w:p>
    <w:p w14:paraId="4959D48E"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Buller, J. L. (2012). </w:t>
      </w:r>
      <w:r w:rsidRPr="00435279">
        <w:rPr>
          <w:rFonts w:ascii="Times New Roman" w:eastAsia="Calibri" w:hAnsi="Times New Roman"/>
          <w:i/>
          <w:iCs/>
          <w:noProof w:val="0"/>
          <w:color w:val="auto"/>
          <w:shd w:val="clear" w:color="auto" w:fill="FFFFFF"/>
          <w:lang w:eastAsia="en-US"/>
        </w:rPr>
        <w:t>Best practices in faculty evaluation: A practical guide for academic leaders</w:t>
      </w:r>
      <w:r w:rsidRPr="00435279">
        <w:rPr>
          <w:rFonts w:ascii="Times New Roman" w:eastAsia="Calibri" w:hAnsi="Times New Roman"/>
          <w:noProof w:val="0"/>
          <w:color w:val="auto"/>
          <w:shd w:val="clear" w:color="auto" w:fill="FFFFFF"/>
          <w:lang w:eastAsia="en-US"/>
        </w:rPr>
        <w:t>. Jossey-Bass.</w:t>
      </w:r>
    </w:p>
    <w:p w14:paraId="163C15FE"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Dewar, J. M. (2011). Helping stakeholders understand the limitations of SRT data: Are we doing enough? </w:t>
      </w:r>
      <w:r w:rsidRPr="00435279">
        <w:rPr>
          <w:rFonts w:ascii="Times New Roman" w:eastAsia="Calibri" w:hAnsi="Times New Roman"/>
          <w:i/>
          <w:iCs/>
          <w:noProof w:val="0"/>
          <w:color w:val="auto"/>
          <w:shd w:val="clear" w:color="auto" w:fill="FFFFFF"/>
          <w:lang w:eastAsia="en-US"/>
        </w:rPr>
        <w:t>Journal of Faculty Development</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25</w:t>
      </w:r>
      <w:r w:rsidRPr="00435279">
        <w:rPr>
          <w:rFonts w:ascii="Times New Roman" w:eastAsia="Calibri" w:hAnsi="Times New Roman"/>
          <w:iCs/>
          <w:noProof w:val="0"/>
          <w:color w:val="auto"/>
          <w:shd w:val="clear" w:color="auto" w:fill="FFFFFF"/>
          <w:lang w:eastAsia="en-US"/>
        </w:rPr>
        <w:t>(3)</w:t>
      </w:r>
      <w:r w:rsidRPr="00435279">
        <w:rPr>
          <w:rFonts w:ascii="Times New Roman" w:eastAsia="Calibri" w:hAnsi="Times New Roman"/>
          <w:noProof w:val="0"/>
          <w:color w:val="auto"/>
          <w:shd w:val="clear" w:color="auto" w:fill="FFFFFF"/>
          <w:lang w:eastAsia="en-US"/>
        </w:rPr>
        <w:t>, 40–44.</w:t>
      </w:r>
    </w:p>
    <w:p w14:paraId="1A2472EA"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Dommeyer</w:t>
      </w:r>
      <w:proofErr w:type="spellEnd"/>
      <w:r w:rsidRPr="00435279">
        <w:rPr>
          <w:rFonts w:ascii="Times New Roman" w:eastAsia="Calibri" w:hAnsi="Times New Roman"/>
          <w:noProof w:val="0"/>
          <w:color w:val="auto"/>
          <w:shd w:val="clear" w:color="auto" w:fill="FFFFFF"/>
          <w:lang w:eastAsia="en-US"/>
        </w:rPr>
        <w:t xml:space="preserve">, C. J., Baum, P., &amp; Hanna, R. W. (2002). College students’ attitudes toward methods of collecting teaching evaluations: In-class versus on-line. </w:t>
      </w:r>
      <w:r w:rsidRPr="00435279">
        <w:rPr>
          <w:rFonts w:ascii="Times New Roman" w:eastAsia="Calibri" w:hAnsi="Times New Roman"/>
          <w:i/>
          <w:iCs/>
          <w:noProof w:val="0"/>
          <w:color w:val="auto"/>
          <w:shd w:val="clear" w:color="auto" w:fill="FFFFFF"/>
          <w:lang w:eastAsia="en-US"/>
        </w:rPr>
        <w:t>Journal of Education for Business</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78</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11–15. </w:t>
      </w:r>
      <w:hyperlink r:id="rId14" w:history="1">
        <w:r w:rsidRPr="00435279">
          <w:rPr>
            <w:rFonts w:ascii="Times New Roman" w:eastAsia="Calibri" w:hAnsi="Times New Roman"/>
            <w:noProof w:val="0"/>
            <w:color w:val="0563C1"/>
            <w:u w:val="single"/>
            <w:shd w:val="clear" w:color="auto" w:fill="FFFFFF"/>
            <w:lang w:eastAsia="en-US"/>
          </w:rPr>
          <w:t>https://doi.org/10.1080/08832320209599691</w:t>
        </w:r>
      </w:hyperlink>
    </w:p>
    <w:p w14:paraId="035932FC"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Dommeyer</w:t>
      </w:r>
      <w:proofErr w:type="spellEnd"/>
      <w:r w:rsidRPr="00435279">
        <w:rPr>
          <w:rFonts w:ascii="Times New Roman" w:eastAsia="Calibri" w:hAnsi="Times New Roman"/>
          <w:noProof w:val="0"/>
          <w:color w:val="auto"/>
          <w:shd w:val="clear" w:color="auto" w:fill="FFFFFF"/>
          <w:lang w:eastAsia="en-US"/>
        </w:rPr>
        <w:t xml:space="preserve">, C. J., Baum, P., Hanna, R. W., &amp; Chapman, K. S. (2004). Gathering faculty teaching evaluations by in-class and online surveys: Their effects on response rates and evaluations.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29</w:t>
      </w:r>
      <w:r w:rsidRPr="00435279">
        <w:rPr>
          <w:rFonts w:ascii="Times New Roman" w:eastAsia="Calibri" w:hAnsi="Times New Roman"/>
          <w:iCs/>
          <w:noProof w:val="0"/>
          <w:color w:val="auto"/>
          <w:shd w:val="clear" w:color="auto" w:fill="FFFFFF"/>
          <w:lang w:eastAsia="en-US"/>
        </w:rPr>
        <w:t>(5)</w:t>
      </w:r>
      <w:r w:rsidRPr="00435279">
        <w:rPr>
          <w:rFonts w:ascii="Times New Roman" w:eastAsia="Calibri" w:hAnsi="Times New Roman"/>
          <w:noProof w:val="0"/>
          <w:color w:val="auto"/>
          <w:shd w:val="clear" w:color="auto" w:fill="FFFFFF"/>
          <w:lang w:eastAsia="en-US"/>
        </w:rPr>
        <w:t xml:space="preserve">, 611–623. </w:t>
      </w:r>
      <w:hyperlink r:id="rId15" w:history="1">
        <w:r w:rsidRPr="00435279">
          <w:rPr>
            <w:rFonts w:ascii="Times New Roman" w:eastAsia="Calibri" w:hAnsi="Times New Roman"/>
            <w:noProof w:val="0"/>
            <w:color w:val="0563C1"/>
            <w:u w:val="single"/>
            <w:shd w:val="clear" w:color="auto" w:fill="FFFFFF"/>
            <w:lang w:eastAsia="en-US"/>
          </w:rPr>
          <w:t>https://doi.org/10.1080/02602930410001689171</w:t>
        </w:r>
      </w:hyperlink>
    </w:p>
    <w:p w14:paraId="100594F6"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Feistauer</w:t>
      </w:r>
      <w:proofErr w:type="spellEnd"/>
      <w:r w:rsidRPr="00435279">
        <w:rPr>
          <w:rFonts w:ascii="Times New Roman" w:eastAsia="Calibri" w:hAnsi="Times New Roman"/>
          <w:noProof w:val="0"/>
          <w:color w:val="auto"/>
          <w:shd w:val="clear" w:color="auto" w:fill="FFFFFF"/>
          <w:lang w:eastAsia="en-US"/>
        </w:rPr>
        <w:t xml:space="preserve">, D., &amp; Richter, T. (2016). How reliable are students’ evaluations of teaching quality? A variance components approach.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42</w:t>
      </w:r>
      <w:r w:rsidRPr="00435279">
        <w:rPr>
          <w:rFonts w:ascii="Times New Roman" w:eastAsia="Calibri" w:hAnsi="Times New Roman"/>
          <w:iCs/>
          <w:noProof w:val="0"/>
          <w:color w:val="auto"/>
          <w:shd w:val="clear" w:color="auto" w:fill="FFFFFF"/>
          <w:lang w:eastAsia="en-US"/>
        </w:rPr>
        <w:t>(8), 1263</w:t>
      </w:r>
      <w:r w:rsidRPr="00435279">
        <w:rPr>
          <w:rFonts w:ascii="Times New Roman" w:eastAsia="Calibri" w:hAnsi="Times New Roman"/>
          <w:noProof w:val="0"/>
          <w:color w:val="auto"/>
          <w:shd w:val="clear" w:color="auto" w:fill="FFFFFF"/>
          <w:lang w:eastAsia="en-US"/>
        </w:rPr>
        <w:t>–</w:t>
      </w:r>
      <w:r w:rsidRPr="00435279">
        <w:rPr>
          <w:rFonts w:ascii="Times New Roman" w:eastAsia="Calibri" w:hAnsi="Times New Roman"/>
          <w:iCs/>
          <w:noProof w:val="0"/>
          <w:color w:val="auto"/>
          <w:shd w:val="clear" w:color="auto" w:fill="FFFFFF"/>
          <w:lang w:eastAsia="en-US"/>
        </w:rPr>
        <w:t>1279</w:t>
      </w:r>
      <w:r w:rsidRPr="00435279">
        <w:rPr>
          <w:rFonts w:ascii="Times New Roman" w:eastAsia="Calibri" w:hAnsi="Times New Roman"/>
          <w:noProof w:val="0"/>
          <w:color w:val="auto"/>
          <w:shd w:val="clear" w:color="auto" w:fill="FFFFFF"/>
          <w:lang w:eastAsia="en-US"/>
        </w:rPr>
        <w:t xml:space="preserve">. </w:t>
      </w:r>
      <w:hyperlink r:id="rId16" w:history="1">
        <w:r w:rsidRPr="00435279">
          <w:rPr>
            <w:rFonts w:ascii="Times New Roman" w:eastAsia="Calibri" w:hAnsi="Times New Roman"/>
            <w:noProof w:val="0"/>
            <w:color w:val="0563C1"/>
            <w:u w:val="single"/>
            <w:shd w:val="clear" w:color="auto" w:fill="FFFFFF"/>
            <w:lang w:eastAsia="en-US"/>
          </w:rPr>
          <w:t>https://doi.org/10.1080/02602938.2016.1261083</w:t>
        </w:r>
      </w:hyperlink>
    </w:p>
    <w:p w14:paraId="413069AC"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Gilovich, T., Griffin, D., &amp; Kahneman, D. (Eds.). (2002). </w:t>
      </w:r>
      <w:r w:rsidRPr="00435279">
        <w:rPr>
          <w:rFonts w:ascii="Times New Roman" w:eastAsia="Calibri" w:hAnsi="Times New Roman"/>
          <w:i/>
          <w:iCs/>
          <w:noProof w:val="0"/>
          <w:color w:val="auto"/>
          <w:shd w:val="clear" w:color="auto" w:fill="FFFFFF"/>
          <w:lang w:eastAsia="en-US"/>
        </w:rPr>
        <w:t>Heuristics and biases: The psychology of intuitive judgment</w:t>
      </w:r>
      <w:r w:rsidRPr="00435279">
        <w:rPr>
          <w:rFonts w:ascii="Times New Roman" w:eastAsia="Calibri" w:hAnsi="Times New Roman"/>
          <w:noProof w:val="0"/>
          <w:color w:val="auto"/>
          <w:shd w:val="clear" w:color="auto" w:fill="FFFFFF"/>
          <w:lang w:eastAsia="en-US"/>
        </w:rPr>
        <w:t xml:space="preserve">. Cambridge University Press. </w:t>
      </w:r>
      <w:hyperlink r:id="rId17" w:history="1">
        <w:r w:rsidRPr="00435279">
          <w:rPr>
            <w:rFonts w:ascii="Times New Roman" w:eastAsia="Calibri" w:hAnsi="Times New Roman"/>
            <w:noProof w:val="0"/>
            <w:color w:val="0563C1"/>
            <w:u w:val="single"/>
            <w:shd w:val="clear" w:color="auto" w:fill="FFFFFF"/>
            <w:lang w:eastAsia="en-US"/>
          </w:rPr>
          <w:t>https://doi.org/10.1017/CBO9780511808098</w:t>
        </w:r>
      </w:hyperlink>
    </w:p>
    <w:p w14:paraId="7952D02F"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lastRenderedPageBreak/>
        <w:t xml:space="preserve">Griffin, T. J., Hilton, J., III, Plummer, K., &amp; Barret, D. (2014). Correlation between grade point averages and student evaluation of teaching scores: Taking a closer look.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39</w:t>
      </w:r>
      <w:r w:rsidRPr="00435279">
        <w:rPr>
          <w:rFonts w:ascii="Times New Roman" w:eastAsia="Calibri" w:hAnsi="Times New Roman"/>
          <w:iCs/>
          <w:noProof w:val="0"/>
          <w:color w:val="auto"/>
          <w:shd w:val="clear" w:color="auto" w:fill="FFFFFF"/>
          <w:lang w:eastAsia="en-US"/>
        </w:rPr>
        <w:t>(3)</w:t>
      </w:r>
      <w:r w:rsidRPr="00435279">
        <w:rPr>
          <w:rFonts w:ascii="Times New Roman" w:eastAsia="Calibri" w:hAnsi="Times New Roman"/>
          <w:noProof w:val="0"/>
          <w:color w:val="auto"/>
          <w:shd w:val="clear" w:color="auto" w:fill="FFFFFF"/>
          <w:lang w:eastAsia="en-US"/>
        </w:rPr>
        <w:t xml:space="preserve">, 339–348. </w:t>
      </w:r>
      <w:hyperlink r:id="rId18" w:history="1">
        <w:r w:rsidRPr="00435279">
          <w:rPr>
            <w:rFonts w:ascii="Times New Roman" w:eastAsia="Calibri" w:hAnsi="Times New Roman"/>
            <w:noProof w:val="0"/>
            <w:color w:val="0563C1"/>
            <w:u w:val="single"/>
            <w:shd w:val="clear" w:color="auto" w:fill="FFFFFF"/>
            <w:lang w:eastAsia="en-US"/>
          </w:rPr>
          <w:t>https://doi.org/10.1080/02602938.2013.831809</w:t>
        </w:r>
      </w:hyperlink>
    </w:p>
    <w:p w14:paraId="7909A012"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Jaquett</w:t>
      </w:r>
      <w:proofErr w:type="spellEnd"/>
      <w:r w:rsidRPr="00435279">
        <w:rPr>
          <w:rFonts w:ascii="Times New Roman" w:eastAsia="Calibri" w:hAnsi="Times New Roman"/>
          <w:noProof w:val="0"/>
          <w:color w:val="auto"/>
          <w:shd w:val="clear" w:color="auto" w:fill="FFFFFF"/>
          <w:lang w:eastAsia="en-US"/>
        </w:rPr>
        <w:t xml:space="preserve">, C. M., </w:t>
      </w:r>
      <w:proofErr w:type="spellStart"/>
      <w:r w:rsidRPr="00435279">
        <w:rPr>
          <w:rFonts w:ascii="Times New Roman" w:eastAsia="Calibri" w:hAnsi="Times New Roman"/>
          <w:noProof w:val="0"/>
          <w:color w:val="auto"/>
          <w:shd w:val="clear" w:color="auto" w:fill="FFFFFF"/>
          <w:lang w:eastAsia="en-US"/>
        </w:rPr>
        <w:t>VanMaaren</w:t>
      </w:r>
      <w:proofErr w:type="spellEnd"/>
      <w:r w:rsidRPr="00435279">
        <w:rPr>
          <w:rFonts w:ascii="Times New Roman" w:eastAsia="Calibri" w:hAnsi="Times New Roman"/>
          <w:noProof w:val="0"/>
          <w:color w:val="auto"/>
          <w:shd w:val="clear" w:color="auto" w:fill="FFFFFF"/>
          <w:lang w:eastAsia="en-US"/>
        </w:rPr>
        <w:t xml:space="preserve">, V. G., &amp; Williams, R. L. (2016). The effect of extra-credit incentives on student submission of end-of-course evaluations. </w:t>
      </w:r>
      <w:r w:rsidRPr="00435279">
        <w:rPr>
          <w:rFonts w:ascii="Times New Roman" w:eastAsia="Calibri" w:hAnsi="Times New Roman"/>
          <w:i/>
          <w:iCs/>
          <w:noProof w:val="0"/>
          <w:color w:val="auto"/>
          <w:shd w:val="clear" w:color="auto" w:fill="FFFFFF"/>
          <w:lang w:eastAsia="en-US"/>
        </w:rPr>
        <w:t>Scholarship of Teaching and Learning in Psychology</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49–61. </w:t>
      </w:r>
      <w:hyperlink r:id="rId19" w:history="1">
        <w:r w:rsidRPr="00435279">
          <w:rPr>
            <w:rFonts w:ascii="Times New Roman" w:eastAsia="Calibri" w:hAnsi="Times New Roman"/>
            <w:noProof w:val="0"/>
            <w:color w:val="0563C1"/>
            <w:u w:val="single"/>
            <w:shd w:val="clear" w:color="auto" w:fill="FFFFFF"/>
            <w:lang w:eastAsia="en-US"/>
          </w:rPr>
          <w:t>https://doi.org/10.1037/stl0000052</w:t>
        </w:r>
      </w:hyperlink>
    </w:p>
    <w:p w14:paraId="014EBC44"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Jaquett</w:t>
      </w:r>
      <w:proofErr w:type="spellEnd"/>
      <w:r w:rsidRPr="00435279">
        <w:rPr>
          <w:rFonts w:ascii="Times New Roman" w:eastAsia="Calibri" w:hAnsi="Times New Roman"/>
          <w:noProof w:val="0"/>
          <w:color w:val="auto"/>
          <w:shd w:val="clear" w:color="auto" w:fill="FFFFFF"/>
          <w:lang w:eastAsia="en-US"/>
        </w:rPr>
        <w:t xml:space="preserve">, C. M., </w:t>
      </w:r>
      <w:proofErr w:type="spellStart"/>
      <w:r w:rsidRPr="00435279">
        <w:rPr>
          <w:rFonts w:ascii="Times New Roman" w:eastAsia="Calibri" w:hAnsi="Times New Roman"/>
          <w:noProof w:val="0"/>
          <w:color w:val="auto"/>
          <w:shd w:val="clear" w:color="auto" w:fill="FFFFFF"/>
          <w:lang w:eastAsia="en-US"/>
        </w:rPr>
        <w:t>VanMaaren</w:t>
      </w:r>
      <w:proofErr w:type="spellEnd"/>
      <w:r w:rsidRPr="00435279">
        <w:rPr>
          <w:rFonts w:ascii="Times New Roman" w:eastAsia="Calibri" w:hAnsi="Times New Roman"/>
          <w:noProof w:val="0"/>
          <w:color w:val="auto"/>
          <w:shd w:val="clear" w:color="auto" w:fill="FFFFFF"/>
          <w:lang w:eastAsia="en-US"/>
        </w:rPr>
        <w:t xml:space="preserve">, V. G., &amp; Williams, R. L. (2017). Course factors that motivate students to submit end-of-course evaluations. </w:t>
      </w:r>
      <w:r w:rsidRPr="00435279">
        <w:rPr>
          <w:rFonts w:ascii="Times New Roman" w:eastAsia="Calibri" w:hAnsi="Times New Roman"/>
          <w:i/>
          <w:iCs/>
          <w:noProof w:val="0"/>
          <w:color w:val="auto"/>
          <w:shd w:val="clear" w:color="auto" w:fill="FFFFFF"/>
          <w:lang w:eastAsia="en-US"/>
        </w:rPr>
        <w:t>Innovative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42</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19–31. </w:t>
      </w:r>
      <w:hyperlink r:id="rId20" w:history="1">
        <w:r w:rsidRPr="00435279">
          <w:rPr>
            <w:rFonts w:ascii="Times New Roman" w:eastAsia="Calibri" w:hAnsi="Times New Roman"/>
            <w:noProof w:val="0"/>
            <w:color w:val="0563C1"/>
            <w:u w:val="single"/>
            <w:shd w:val="clear" w:color="auto" w:fill="FFFFFF"/>
            <w:lang w:eastAsia="en-US"/>
          </w:rPr>
          <w:t>https://doi.org/10.1007/s10755-016-9368-5</w:t>
        </w:r>
      </w:hyperlink>
    </w:p>
    <w:p w14:paraId="44993B91" w14:textId="77777777" w:rsidR="00C84269" w:rsidRPr="00435279" w:rsidRDefault="00C84269" w:rsidP="004C5FD3">
      <w:pPr>
        <w:spacing w:before="120" w:line="240" w:lineRule="auto"/>
        <w:ind w:left="1559" w:hanging="720"/>
        <w:rPr>
          <w:rFonts w:ascii="Times New Roman" w:eastAsia="Calibri" w:hAnsi="Times New Roman"/>
          <w:noProof w:val="0"/>
          <w:color w:val="auto"/>
          <w:u w:val="single"/>
          <w:shd w:val="clear" w:color="auto" w:fill="FFFFFF"/>
          <w:lang w:eastAsia="en-US"/>
        </w:rPr>
      </w:pPr>
      <w:r w:rsidRPr="00435279">
        <w:rPr>
          <w:rFonts w:ascii="Times New Roman" w:eastAsia="Calibri" w:hAnsi="Times New Roman"/>
          <w:noProof w:val="0"/>
          <w:color w:val="auto"/>
          <w:shd w:val="clear" w:color="auto" w:fill="FFFFFF"/>
          <w:lang w:eastAsia="en-US"/>
        </w:rPr>
        <w:t xml:space="preserve">Morrison, R. (2011). A comparison of online versus traditional student end-of-course critiques in resident courses.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36</w:t>
      </w:r>
      <w:r w:rsidRPr="00435279">
        <w:rPr>
          <w:rFonts w:ascii="Times New Roman" w:eastAsia="Calibri" w:hAnsi="Times New Roman"/>
          <w:iCs/>
          <w:noProof w:val="0"/>
          <w:color w:val="auto"/>
          <w:shd w:val="clear" w:color="auto" w:fill="FFFFFF"/>
          <w:lang w:eastAsia="en-US"/>
        </w:rPr>
        <w:t>(6)</w:t>
      </w:r>
      <w:r w:rsidRPr="00435279">
        <w:rPr>
          <w:rFonts w:ascii="Times New Roman" w:eastAsia="Calibri" w:hAnsi="Times New Roman"/>
          <w:noProof w:val="0"/>
          <w:color w:val="auto"/>
          <w:shd w:val="clear" w:color="auto" w:fill="FFFFFF"/>
          <w:lang w:eastAsia="en-US"/>
        </w:rPr>
        <w:t xml:space="preserve">, 627–641. </w:t>
      </w:r>
      <w:hyperlink r:id="rId21" w:history="1">
        <w:r w:rsidRPr="00435279">
          <w:rPr>
            <w:rFonts w:ascii="Times New Roman" w:eastAsia="Calibri" w:hAnsi="Times New Roman"/>
            <w:noProof w:val="0"/>
            <w:color w:val="0563C1"/>
            <w:u w:val="single"/>
            <w:shd w:val="clear" w:color="auto" w:fill="FFFFFF"/>
            <w:lang w:eastAsia="en-US"/>
          </w:rPr>
          <w:t>https://doi.org/10.1080/02602931003632399</w:t>
        </w:r>
      </w:hyperlink>
    </w:p>
    <w:p w14:paraId="458F12BA"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Nowell, C., Gale, L. R., &amp; Handley, B. (2010). Assessing faculty performance using student evaluations of teaching in an uncontrolled setting.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35</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xml:space="preserve">, 463–475. </w:t>
      </w:r>
      <w:hyperlink r:id="rId22" w:history="1">
        <w:r w:rsidRPr="00435279">
          <w:rPr>
            <w:rFonts w:ascii="Times New Roman" w:eastAsia="Calibri" w:hAnsi="Times New Roman"/>
            <w:noProof w:val="0"/>
            <w:color w:val="0563C1"/>
            <w:u w:val="single"/>
            <w:shd w:val="clear" w:color="auto" w:fill="FFFFFF"/>
            <w:lang w:eastAsia="en-US"/>
          </w:rPr>
          <w:t>https://doi.org/10.1080/02602930902862875</w:t>
        </w:r>
      </w:hyperlink>
    </w:p>
    <w:p w14:paraId="1CCE41D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Nulty</w:t>
      </w:r>
      <w:proofErr w:type="spellEnd"/>
      <w:r w:rsidRPr="00435279">
        <w:rPr>
          <w:rFonts w:ascii="Times New Roman" w:eastAsia="Calibri" w:hAnsi="Times New Roman"/>
          <w:noProof w:val="0"/>
          <w:color w:val="auto"/>
          <w:shd w:val="clear" w:color="auto" w:fill="FFFFFF"/>
          <w:lang w:eastAsia="en-US"/>
        </w:rPr>
        <w:t xml:space="preserve">, D. D. (2008). The adequacy of response rates to online and paper surveys: What can be done?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33</w:t>
      </w:r>
      <w:r w:rsidRPr="00435279">
        <w:rPr>
          <w:rFonts w:ascii="Times New Roman" w:eastAsia="Calibri" w:hAnsi="Times New Roman"/>
          <w:iCs/>
          <w:noProof w:val="0"/>
          <w:color w:val="auto"/>
          <w:shd w:val="clear" w:color="auto" w:fill="FFFFFF"/>
          <w:lang w:eastAsia="en-US"/>
        </w:rPr>
        <w:t>(3)</w:t>
      </w:r>
      <w:r w:rsidRPr="00435279">
        <w:rPr>
          <w:rFonts w:ascii="Times New Roman" w:eastAsia="Calibri" w:hAnsi="Times New Roman"/>
          <w:noProof w:val="0"/>
          <w:color w:val="auto"/>
          <w:shd w:val="clear" w:color="auto" w:fill="FFFFFF"/>
          <w:lang w:eastAsia="en-US"/>
        </w:rPr>
        <w:t xml:space="preserve">, 301–314. </w:t>
      </w:r>
      <w:hyperlink r:id="rId23" w:history="1">
        <w:r w:rsidRPr="00435279">
          <w:rPr>
            <w:rFonts w:ascii="Times New Roman" w:eastAsia="Calibri" w:hAnsi="Times New Roman"/>
            <w:noProof w:val="0"/>
            <w:color w:val="0563C1"/>
            <w:u w:val="single"/>
            <w:shd w:val="clear" w:color="auto" w:fill="FFFFFF"/>
            <w:lang w:eastAsia="en-US"/>
          </w:rPr>
          <w:t>https://doi.org/10.1080/02602930701293231</w:t>
        </w:r>
      </w:hyperlink>
    </w:p>
    <w:p w14:paraId="2FC08789"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Palmer, M. S., Bach, D. J., &amp; </w:t>
      </w:r>
      <w:proofErr w:type="spellStart"/>
      <w:r w:rsidRPr="00435279">
        <w:rPr>
          <w:rFonts w:ascii="Times New Roman" w:eastAsia="Calibri" w:hAnsi="Times New Roman"/>
          <w:noProof w:val="0"/>
          <w:color w:val="auto"/>
          <w:shd w:val="clear" w:color="auto" w:fill="FFFFFF"/>
          <w:lang w:eastAsia="en-US"/>
        </w:rPr>
        <w:t>Streifer</w:t>
      </w:r>
      <w:proofErr w:type="spellEnd"/>
      <w:r w:rsidRPr="00435279">
        <w:rPr>
          <w:rFonts w:ascii="Times New Roman" w:eastAsia="Calibri" w:hAnsi="Times New Roman"/>
          <w:noProof w:val="0"/>
          <w:color w:val="auto"/>
          <w:shd w:val="clear" w:color="auto" w:fill="FFFFFF"/>
          <w:lang w:eastAsia="en-US"/>
        </w:rPr>
        <w:t xml:space="preserve">, A. C. (2014). Measuring the promise: A learning-focused syllabus rubric. </w:t>
      </w:r>
      <w:r w:rsidRPr="00435279">
        <w:rPr>
          <w:rFonts w:ascii="Times New Roman" w:eastAsia="Calibri" w:hAnsi="Times New Roman"/>
          <w:i/>
          <w:iCs/>
          <w:noProof w:val="0"/>
          <w:color w:val="auto"/>
          <w:shd w:val="clear" w:color="auto" w:fill="FFFFFF"/>
          <w:lang w:eastAsia="en-US"/>
        </w:rPr>
        <w:t>To Improve the Academy: A Journal of Educational Development</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33</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14–36. </w:t>
      </w:r>
      <w:hyperlink r:id="rId24" w:history="1">
        <w:r w:rsidRPr="00435279">
          <w:rPr>
            <w:rFonts w:ascii="Times New Roman" w:eastAsia="Calibri" w:hAnsi="Times New Roman"/>
            <w:noProof w:val="0"/>
            <w:color w:val="0563C1"/>
            <w:u w:val="single"/>
            <w:shd w:val="clear" w:color="auto" w:fill="FFFFFF"/>
            <w:lang w:eastAsia="en-US"/>
          </w:rPr>
          <w:t>https://doi.org/10.1002/tia2.20004</w:t>
        </w:r>
      </w:hyperlink>
    </w:p>
    <w:p w14:paraId="081C4F9D"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Reiner, C. M., &amp; Arnold, K. E. (2010). Online course evaluation: Student and instructor perspectives and assessment potential. </w:t>
      </w:r>
      <w:r w:rsidRPr="00435279">
        <w:rPr>
          <w:rFonts w:ascii="Times New Roman" w:eastAsia="Calibri" w:hAnsi="Times New Roman"/>
          <w:i/>
          <w:iCs/>
          <w:noProof w:val="0"/>
          <w:color w:val="auto"/>
          <w:shd w:val="clear" w:color="auto" w:fill="FFFFFF"/>
          <w:lang w:eastAsia="en-US"/>
        </w:rPr>
        <w:t>Assessment Update</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22</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xml:space="preserve">, 8–10. </w:t>
      </w:r>
      <w:hyperlink r:id="rId25" w:history="1">
        <w:r w:rsidRPr="00435279">
          <w:rPr>
            <w:rFonts w:ascii="Times New Roman" w:eastAsia="Calibri" w:hAnsi="Times New Roman"/>
            <w:noProof w:val="0"/>
            <w:color w:val="0563C1"/>
            <w:u w:val="single"/>
            <w:shd w:val="clear" w:color="auto" w:fill="FFFFFF"/>
            <w:lang w:eastAsia="en-US"/>
          </w:rPr>
          <w:t>https://doi.org/10.1002/au.222</w:t>
        </w:r>
      </w:hyperlink>
    </w:p>
    <w:p w14:paraId="41270065"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Risquez</w:t>
      </w:r>
      <w:proofErr w:type="spellEnd"/>
      <w:r w:rsidRPr="00435279">
        <w:rPr>
          <w:rFonts w:ascii="Times New Roman" w:eastAsia="Calibri" w:hAnsi="Times New Roman"/>
          <w:noProof w:val="0"/>
          <w:color w:val="auto"/>
          <w:shd w:val="clear" w:color="auto" w:fill="FFFFFF"/>
          <w:lang w:eastAsia="en-US"/>
        </w:rPr>
        <w:t xml:space="preserve">, A., Vaughan, E., &amp; Murphy, M. (2015). Online student evaluations of teaching: What are we sacrificing for the affordances of technology?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40</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210–234. </w:t>
      </w:r>
      <w:hyperlink r:id="rId26" w:history="1">
        <w:r w:rsidRPr="00435279">
          <w:rPr>
            <w:rFonts w:ascii="Times New Roman" w:eastAsia="Calibri" w:hAnsi="Times New Roman"/>
            <w:noProof w:val="0"/>
            <w:color w:val="0563C1"/>
            <w:u w:val="single"/>
            <w:shd w:val="clear" w:color="auto" w:fill="FFFFFF"/>
            <w:lang w:eastAsia="en-US"/>
          </w:rPr>
          <w:t>https://doi.org/10.1080/02602938.2014.890695</w:t>
        </w:r>
      </w:hyperlink>
    </w:p>
    <w:p w14:paraId="1046EBAD"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Spooren</w:t>
      </w:r>
      <w:proofErr w:type="spellEnd"/>
      <w:r w:rsidRPr="00435279">
        <w:rPr>
          <w:rFonts w:ascii="Times New Roman" w:eastAsia="Calibri" w:hAnsi="Times New Roman"/>
          <w:noProof w:val="0"/>
          <w:color w:val="auto"/>
          <w:shd w:val="clear" w:color="auto" w:fill="FFFFFF"/>
          <w:lang w:eastAsia="en-US"/>
        </w:rPr>
        <w:t xml:space="preserve">, P., </w:t>
      </w:r>
      <w:proofErr w:type="spellStart"/>
      <w:r w:rsidRPr="00435279">
        <w:rPr>
          <w:rFonts w:ascii="Times New Roman" w:eastAsia="Calibri" w:hAnsi="Times New Roman"/>
          <w:noProof w:val="0"/>
          <w:color w:val="auto"/>
          <w:shd w:val="clear" w:color="auto" w:fill="FFFFFF"/>
          <w:lang w:eastAsia="en-US"/>
        </w:rPr>
        <w:t>Brockx</w:t>
      </w:r>
      <w:proofErr w:type="spellEnd"/>
      <w:r w:rsidRPr="00435279">
        <w:rPr>
          <w:rFonts w:ascii="Times New Roman" w:eastAsia="Calibri" w:hAnsi="Times New Roman"/>
          <w:noProof w:val="0"/>
          <w:color w:val="auto"/>
          <w:shd w:val="clear" w:color="auto" w:fill="FFFFFF"/>
          <w:lang w:eastAsia="en-US"/>
        </w:rPr>
        <w:t xml:space="preserve">, B., &amp; </w:t>
      </w:r>
      <w:proofErr w:type="spellStart"/>
      <w:r w:rsidRPr="00435279">
        <w:rPr>
          <w:rFonts w:ascii="Times New Roman" w:eastAsia="Calibri" w:hAnsi="Times New Roman"/>
          <w:noProof w:val="0"/>
          <w:color w:val="auto"/>
          <w:shd w:val="clear" w:color="auto" w:fill="FFFFFF"/>
          <w:lang w:eastAsia="en-US"/>
        </w:rPr>
        <w:t>Mortelmans</w:t>
      </w:r>
      <w:proofErr w:type="spellEnd"/>
      <w:r w:rsidRPr="00435279">
        <w:rPr>
          <w:rFonts w:ascii="Times New Roman" w:eastAsia="Calibri" w:hAnsi="Times New Roman"/>
          <w:noProof w:val="0"/>
          <w:color w:val="auto"/>
          <w:shd w:val="clear" w:color="auto" w:fill="FFFFFF"/>
          <w:lang w:eastAsia="en-US"/>
        </w:rPr>
        <w:t xml:space="preserve">, D. (2013). On the validity of student evaluation of teaching: The state of the art. </w:t>
      </w:r>
      <w:r w:rsidRPr="00435279">
        <w:rPr>
          <w:rFonts w:ascii="Times New Roman" w:eastAsia="Calibri" w:hAnsi="Times New Roman"/>
          <w:i/>
          <w:iCs/>
          <w:noProof w:val="0"/>
          <w:color w:val="auto"/>
          <w:shd w:val="clear" w:color="auto" w:fill="FFFFFF"/>
          <w:lang w:eastAsia="en-US"/>
        </w:rPr>
        <w:t>Review of Educational Research</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83</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xml:space="preserve">, 598–642. </w:t>
      </w:r>
      <w:hyperlink r:id="rId27" w:history="1">
        <w:r w:rsidRPr="00435279">
          <w:rPr>
            <w:rFonts w:ascii="Times New Roman" w:eastAsia="Calibri" w:hAnsi="Times New Roman"/>
            <w:noProof w:val="0"/>
            <w:color w:val="0563C1"/>
            <w:u w:val="single"/>
            <w:shd w:val="clear" w:color="auto" w:fill="FFFFFF"/>
            <w:lang w:eastAsia="en-US"/>
          </w:rPr>
          <w:t>https://doi.org/10.3102/0034654313496870</w:t>
        </w:r>
      </w:hyperlink>
    </w:p>
    <w:p w14:paraId="0BCBFC2E"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Stanny</w:t>
      </w:r>
      <w:proofErr w:type="spellEnd"/>
      <w:r w:rsidRPr="00435279">
        <w:rPr>
          <w:rFonts w:ascii="Times New Roman" w:eastAsia="Calibri" w:hAnsi="Times New Roman"/>
          <w:noProof w:val="0"/>
          <w:color w:val="auto"/>
          <w:shd w:val="clear" w:color="auto" w:fill="FFFFFF"/>
          <w:lang w:eastAsia="en-US"/>
        </w:rPr>
        <w:t xml:space="preserve">, C. J., Gonzalez, M., &amp; McGowan, B. (2015). Assessing the culture of teaching and learning through a syllabus review.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40</w:t>
      </w:r>
      <w:r w:rsidRPr="00435279">
        <w:rPr>
          <w:rFonts w:ascii="Times New Roman" w:eastAsia="Calibri" w:hAnsi="Times New Roman"/>
          <w:iCs/>
          <w:noProof w:val="0"/>
          <w:color w:val="auto"/>
          <w:shd w:val="clear" w:color="auto" w:fill="FFFFFF"/>
          <w:lang w:eastAsia="en-US"/>
        </w:rPr>
        <w:t>(7)</w:t>
      </w:r>
      <w:r w:rsidRPr="00435279">
        <w:rPr>
          <w:rFonts w:ascii="Times New Roman" w:eastAsia="Calibri" w:hAnsi="Times New Roman"/>
          <w:noProof w:val="0"/>
          <w:color w:val="auto"/>
          <w:shd w:val="clear" w:color="auto" w:fill="FFFFFF"/>
          <w:lang w:eastAsia="en-US"/>
        </w:rPr>
        <w:t xml:space="preserve">, 898–913. </w:t>
      </w:r>
      <w:hyperlink r:id="rId28" w:history="1">
        <w:r w:rsidRPr="00435279">
          <w:rPr>
            <w:rFonts w:ascii="Times New Roman" w:eastAsia="Calibri" w:hAnsi="Times New Roman"/>
            <w:noProof w:val="0"/>
            <w:color w:val="0563C1"/>
            <w:u w:val="single"/>
            <w:shd w:val="clear" w:color="auto" w:fill="FFFFFF"/>
            <w:lang w:eastAsia="en-US"/>
          </w:rPr>
          <w:t>https://doi.org/10.1080/02602938.2014.956684</w:t>
        </w:r>
      </w:hyperlink>
    </w:p>
    <w:p w14:paraId="2B962A42"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Stark, P. B., &amp; </w:t>
      </w:r>
      <w:proofErr w:type="spellStart"/>
      <w:r w:rsidRPr="00435279">
        <w:rPr>
          <w:rFonts w:ascii="Times New Roman" w:eastAsia="Calibri" w:hAnsi="Times New Roman"/>
          <w:noProof w:val="0"/>
          <w:color w:val="auto"/>
          <w:shd w:val="clear" w:color="auto" w:fill="FFFFFF"/>
          <w:lang w:eastAsia="en-US"/>
        </w:rPr>
        <w:t>Freishtat</w:t>
      </w:r>
      <w:proofErr w:type="spellEnd"/>
      <w:r w:rsidRPr="00435279">
        <w:rPr>
          <w:rFonts w:ascii="Times New Roman" w:eastAsia="Calibri" w:hAnsi="Times New Roman"/>
          <w:noProof w:val="0"/>
          <w:color w:val="auto"/>
          <w:shd w:val="clear" w:color="auto" w:fill="FFFFFF"/>
          <w:lang w:eastAsia="en-US"/>
        </w:rPr>
        <w:t xml:space="preserve">, R. (2014). An evaluation of course evaluations. </w:t>
      </w:r>
      <w:proofErr w:type="spellStart"/>
      <w:r w:rsidRPr="00435279">
        <w:rPr>
          <w:rFonts w:ascii="Times New Roman" w:eastAsia="Calibri" w:hAnsi="Times New Roman"/>
          <w:i/>
          <w:iCs/>
          <w:noProof w:val="0"/>
          <w:color w:val="auto"/>
          <w:shd w:val="clear" w:color="auto" w:fill="FFFFFF"/>
          <w:lang w:eastAsia="en-US"/>
        </w:rPr>
        <w:t>ScienceOpen</w:t>
      </w:r>
      <w:proofErr w:type="spellEnd"/>
      <w:r w:rsidRPr="00435279">
        <w:rPr>
          <w:rFonts w:ascii="Times New Roman" w:eastAsia="Calibri" w:hAnsi="Times New Roman"/>
          <w:i/>
          <w:iCs/>
          <w:noProof w:val="0"/>
          <w:color w:val="auto"/>
          <w:shd w:val="clear" w:color="auto" w:fill="FFFFFF"/>
          <w:lang w:eastAsia="en-US"/>
        </w:rPr>
        <w:t xml:space="preserve"> Research</w:t>
      </w:r>
      <w:r w:rsidRPr="00435279">
        <w:rPr>
          <w:rFonts w:ascii="Times New Roman" w:eastAsia="Calibri" w:hAnsi="Times New Roman"/>
          <w:noProof w:val="0"/>
          <w:color w:val="auto"/>
          <w:shd w:val="clear" w:color="auto" w:fill="FFFFFF"/>
          <w:lang w:eastAsia="en-US"/>
        </w:rPr>
        <w:t xml:space="preserve">. </w:t>
      </w:r>
      <w:hyperlink r:id="rId29" w:history="1">
        <w:r w:rsidRPr="00435279">
          <w:rPr>
            <w:rFonts w:ascii="Times New Roman" w:eastAsia="Calibri" w:hAnsi="Times New Roman"/>
            <w:noProof w:val="0"/>
            <w:color w:val="0563C1"/>
            <w:u w:val="single"/>
            <w:shd w:val="clear" w:color="auto" w:fill="FFFFFF"/>
            <w:lang w:eastAsia="en-US"/>
          </w:rPr>
          <w:t>https://doi.org/10.14293/S2199-1006.1.SOR-EDU.AOFRQA.v1</w:t>
        </w:r>
      </w:hyperlink>
    </w:p>
    <w:p w14:paraId="3ADFECA2"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t xml:space="preserve">Stowell, J. R., Addison, W. E., &amp; Smith, J. L. (2012). Comparison of online and classroom-based student evaluations of instruction.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37</w:t>
      </w:r>
      <w:r w:rsidRPr="00435279">
        <w:rPr>
          <w:rFonts w:ascii="Times New Roman" w:eastAsia="Calibri" w:hAnsi="Times New Roman"/>
          <w:iCs/>
          <w:noProof w:val="0"/>
          <w:color w:val="auto"/>
          <w:shd w:val="clear" w:color="auto" w:fill="FFFFFF"/>
          <w:lang w:eastAsia="en-US"/>
        </w:rPr>
        <w:t>(4)</w:t>
      </w:r>
      <w:r w:rsidRPr="00435279">
        <w:rPr>
          <w:rFonts w:ascii="Times New Roman" w:eastAsia="Calibri" w:hAnsi="Times New Roman"/>
          <w:noProof w:val="0"/>
          <w:color w:val="auto"/>
          <w:shd w:val="clear" w:color="auto" w:fill="FFFFFF"/>
          <w:lang w:eastAsia="en-US"/>
        </w:rPr>
        <w:t xml:space="preserve">, 465–473. </w:t>
      </w:r>
      <w:hyperlink r:id="rId30" w:history="1">
        <w:r w:rsidRPr="00435279">
          <w:rPr>
            <w:rFonts w:ascii="Times New Roman" w:eastAsia="Calibri" w:hAnsi="Times New Roman"/>
            <w:noProof w:val="0"/>
            <w:color w:val="0563C1"/>
            <w:u w:val="single"/>
            <w:shd w:val="clear" w:color="auto" w:fill="FFFFFF"/>
            <w:lang w:eastAsia="en-US"/>
          </w:rPr>
          <w:t>https://doi.org/10.1080/02602938.2010.545869</w:t>
        </w:r>
      </w:hyperlink>
    </w:p>
    <w:p w14:paraId="3B85E7B5"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r w:rsidRPr="00435279">
        <w:rPr>
          <w:rFonts w:ascii="Times New Roman" w:eastAsia="Calibri" w:hAnsi="Times New Roman"/>
          <w:noProof w:val="0"/>
          <w:color w:val="auto"/>
          <w:shd w:val="clear" w:color="auto" w:fill="FFFFFF"/>
          <w:lang w:eastAsia="en-US"/>
        </w:rPr>
        <w:lastRenderedPageBreak/>
        <w:t xml:space="preserve">Tversky, A., &amp; Kahneman, D. (1971). Belief in the law of small numbers. </w:t>
      </w:r>
      <w:r w:rsidRPr="00435279">
        <w:rPr>
          <w:rFonts w:ascii="Times New Roman" w:eastAsia="Calibri" w:hAnsi="Times New Roman"/>
          <w:i/>
          <w:iCs/>
          <w:noProof w:val="0"/>
          <w:color w:val="auto"/>
          <w:shd w:val="clear" w:color="auto" w:fill="FFFFFF"/>
          <w:lang w:eastAsia="en-US"/>
        </w:rPr>
        <w:t>Psychological Bulletin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76</w:t>
      </w:r>
      <w:r w:rsidRPr="00435279">
        <w:rPr>
          <w:rFonts w:ascii="Times New Roman" w:eastAsia="Calibri" w:hAnsi="Times New Roman"/>
          <w:iCs/>
          <w:noProof w:val="0"/>
          <w:color w:val="auto"/>
          <w:shd w:val="clear" w:color="auto" w:fill="FFFFFF"/>
          <w:lang w:eastAsia="en-US"/>
        </w:rPr>
        <w:t>(2)</w:t>
      </w:r>
      <w:r w:rsidRPr="00435279">
        <w:rPr>
          <w:rFonts w:ascii="Times New Roman" w:eastAsia="Calibri" w:hAnsi="Times New Roman"/>
          <w:noProof w:val="0"/>
          <w:color w:val="auto"/>
          <w:shd w:val="clear" w:color="auto" w:fill="FFFFFF"/>
          <w:lang w:eastAsia="en-US"/>
        </w:rPr>
        <w:t xml:space="preserve">, 105–110. </w:t>
      </w:r>
      <w:hyperlink r:id="rId31" w:history="1">
        <w:r w:rsidRPr="00435279">
          <w:rPr>
            <w:rFonts w:ascii="Times New Roman" w:eastAsia="Calibri" w:hAnsi="Times New Roman"/>
            <w:noProof w:val="0"/>
            <w:color w:val="0563C1"/>
            <w:u w:val="single"/>
            <w:shd w:val="clear" w:color="auto" w:fill="FFFFFF"/>
            <w:lang w:eastAsia="en-US"/>
          </w:rPr>
          <w:t>https://doi.org/10.1037/h0031322</w:t>
        </w:r>
      </w:hyperlink>
    </w:p>
    <w:p w14:paraId="1B16D0F7"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Uttl</w:t>
      </w:r>
      <w:proofErr w:type="spellEnd"/>
      <w:r w:rsidRPr="00435279">
        <w:rPr>
          <w:rFonts w:ascii="Times New Roman" w:eastAsia="Calibri" w:hAnsi="Times New Roman"/>
          <w:noProof w:val="0"/>
          <w:color w:val="auto"/>
          <w:shd w:val="clear" w:color="auto" w:fill="FFFFFF"/>
          <w:lang w:eastAsia="en-US"/>
        </w:rPr>
        <w:t xml:space="preserve">, B., White, C. A., &amp; Gonzalez, D. W. (2017). Meta-analysis of faculty’s teaching effectiveness: Student evaluation of teaching ratings and student learning are not related. </w:t>
      </w:r>
      <w:r w:rsidRPr="00435279">
        <w:rPr>
          <w:rFonts w:ascii="Times New Roman" w:eastAsia="Calibri" w:hAnsi="Times New Roman"/>
          <w:i/>
          <w:iCs/>
          <w:noProof w:val="0"/>
          <w:color w:val="auto"/>
          <w:shd w:val="clear" w:color="auto" w:fill="FFFFFF"/>
          <w:lang w:eastAsia="en-US"/>
        </w:rPr>
        <w:t>Studies in Educational Evaluation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54</w:t>
      </w:r>
      <w:r w:rsidRPr="00435279">
        <w:rPr>
          <w:rFonts w:ascii="Times New Roman" w:eastAsia="Calibri" w:hAnsi="Times New Roman"/>
          <w:noProof w:val="0"/>
          <w:color w:val="auto"/>
          <w:shd w:val="clear" w:color="auto" w:fill="FFFFFF"/>
          <w:lang w:eastAsia="en-US"/>
        </w:rPr>
        <w:t xml:space="preserve">, 22–42. </w:t>
      </w:r>
      <w:hyperlink r:id="rId32" w:history="1">
        <w:r w:rsidRPr="00435279">
          <w:rPr>
            <w:rFonts w:ascii="Times New Roman" w:eastAsia="Calibri" w:hAnsi="Times New Roman"/>
            <w:noProof w:val="0"/>
            <w:color w:val="0563C1"/>
            <w:u w:val="single"/>
            <w:shd w:val="clear" w:color="auto" w:fill="FFFFFF"/>
            <w:lang w:eastAsia="en-US"/>
          </w:rPr>
          <w:t>https://doi.org/10.1016/j.stueduc.2016.08.007</w:t>
        </w:r>
      </w:hyperlink>
    </w:p>
    <w:p w14:paraId="555B4EC6" w14:textId="77777777" w:rsidR="00C84269" w:rsidRPr="00435279" w:rsidRDefault="00C84269" w:rsidP="004C5FD3">
      <w:pPr>
        <w:spacing w:before="120" w:line="240" w:lineRule="auto"/>
        <w:ind w:left="1559" w:hanging="720"/>
        <w:rPr>
          <w:rFonts w:ascii="Times New Roman" w:eastAsia="Calibri" w:hAnsi="Times New Roman"/>
          <w:noProof w:val="0"/>
          <w:color w:val="auto"/>
          <w:shd w:val="clear" w:color="auto" w:fill="FFFFFF"/>
          <w:lang w:eastAsia="en-US"/>
        </w:rPr>
      </w:pPr>
      <w:proofErr w:type="spellStart"/>
      <w:r w:rsidRPr="00435279">
        <w:rPr>
          <w:rFonts w:ascii="Times New Roman" w:eastAsia="Calibri" w:hAnsi="Times New Roman"/>
          <w:noProof w:val="0"/>
          <w:color w:val="auto"/>
          <w:shd w:val="clear" w:color="auto" w:fill="FFFFFF"/>
          <w:lang w:eastAsia="en-US"/>
        </w:rPr>
        <w:t>Venette</w:t>
      </w:r>
      <w:proofErr w:type="spellEnd"/>
      <w:r w:rsidRPr="00435279">
        <w:rPr>
          <w:rFonts w:ascii="Times New Roman" w:eastAsia="Calibri" w:hAnsi="Times New Roman"/>
          <w:noProof w:val="0"/>
          <w:color w:val="auto"/>
          <w:shd w:val="clear" w:color="auto" w:fill="FFFFFF"/>
          <w:lang w:eastAsia="en-US"/>
        </w:rPr>
        <w:t xml:space="preserve">, S., </w:t>
      </w:r>
      <w:proofErr w:type="spellStart"/>
      <w:r w:rsidRPr="00435279">
        <w:rPr>
          <w:rFonts w:ascii="Times New Roman" w:eastAsia="Calibri" w:hAnsi="Times New Roman"/>
          <w:noProof w:val="0"/>
          <w:color w:val="auto"/>
          <w:shd w:val="clear" w:color="auto" w:fill="FFFFFF"/>
          <w:lang w:eastAsia="en-US"/>
        </w:rPr>
        <w:t>Sellnow</w:t>
      </w:r>
      <w:proofErr w:type="spellEnd"/>
      <w:r w:rsidRPr="00435279">
        <w:rPr>
          <w:rFonts w:ascii="Times New Roman" w:eastAsia="Calibri" w:hAnsi="Times New Roman"/>
          <w:noProof w:val="0"/>
          <w:color w:val="auto"/>
          <w:shd w:val="clear" w:color="auto" w:fill="FFFFFF"/>
          <w:lang w:eastAsia="en-US"/>
        </w:rPr>
        <w:t xml:space="preserve">, D., &amp; McIntyre, K. (2010). Charting new territory: Assessing the online frontier of student ratings of instruction. </w:t>
      </w:r>
      <w:r w:rsidRPr="00435279">
        <w:rPr>
          <w:rFonts w:ascii="Times New Roman" w:eastAsia="Calibri" w:hAnsi="Times New Roman"/>
          <w:i/>
          <w:iCs/>
          <w:noProof w:val="0"/>
          <w:color w:val="auto"/>
          <w:shd w:val="clear" w:color="auto" w:fill="FFFFFF"/>
          <w:lang w:eastAsia="en-US"/>
        </w:rPr>
        <w:t>Assessment &amp; Evaluation in Higher Education</w:t>
      </w:r>
      <w:r w:rsidRPr="00435279">
        <w:rPr>
          <w:rFonts w:ascii="Times New Roman" w:eastAsia="Calibri" w:hAnsi="Times New Roman"/>
          <w:noProof w:val="0"/>
          <w:color w:val="auto"/>
          <w:shd w:val="clear" w:color="auto" w:fill="FFFFFF"/>
          <w:lang w:eastAsia="en-US"/>
        </w:rPr>
        <w:t xml:space="preserve">, </w:t>
      </w:r>
      <w:r w:rsidRPr="00435279">
        <w:rPr>
          <w:rFonts w:ascii="Times New Roman" w:eastAsia="Calibri" w:hAnsi="Times New Roman"/>
          <w:i/>
          <w:iCs/>
          <w:noProof w:val="0"/>
          <w:color w:val="auto"/>
          <w:shd w:val="clear" w:color="auto" w:fill="FFFFFF"/>
          <w:lang w:eastAsia="en-US"/>
        </w:rPr>
        <w:t>35</w:t>
      </w:r>
      <w:r w:rsidRPr="00435279">
        <w:rPr>
          <w:rFonts w:ascii="Times New Roman" w:eastAsia="Calibri" w:hAnsi="Times New Roman"/>
          <w:iCs/>
          <w:noProof w:val="0"/>
          <w:color w:val="auto"/>
          <w:shd w:val="clear" w:color="auto" w:fill="FFFFFF"/>
          <w:lang w:eastAsia="en-US"/>
        </w:rPr>
        <w:t>(1)</w:t>
      </w:r>
      <w:r w:rsidRPr="00435279">
        <w:rPr>
          <w:rFonts w:ascii="Times New Roman" w:eastAsia="Calibri" w:hAnsi="Times New Roman"/>
          <w:noProof w:val="0"/>
          <w:color w:val="auto"/>
          <w:shd w:val="clear" w:color="auto" w:fill="FFFFFF"/>
          <w:lang w:eastAsia="en-US"/>
        </w:rPr>
        <w:t xml:space="preserve">, 101–115. </w:t>
      </w:r>
      <w:hyperlink r:id="rId33" w:history="1">
        <w:r w:rsidRPr="00435279">
          <w:rPr>
            <w:rFonts w:ascii="Times New Roman" w:eastAsia="Calibri" w:hAnsi="Times New Roman"/>
            <w:noProof w:val="0"/>
            <w:color w:val="0563C1"/>
            <w:u w:val="single"/>
            <w:shd w:val="clear" w:color="auto" w:fill="FFFFFF"/>
            <w:lang w:eastAsia="en-US"/>
          </w:rPr>
          <w:t>https://doi.org/10.1080/02602930802618336</w:t>
        </w:r>
      </w:hyperlink>
    </w:p>
    <w:p w14:paraId="18F8125F" w14:textId="2AE9E0DE" w:rsidR="0074289F" w:rsidRPr="00435279" w:rsidRDefault="00C84269" w:rsidP="004C5FD3">
      <w:pPr>
        <w:spacing w:before="120" w:line="240" w:lineRule="auto"/>
        <w:ind w:left="1559"/>
        <w:rPr>
          <w:rFonts w:ascii="Times New Roman" w:hAnsi="Times New Roman"/>
        </w:rPr>
      </w:pPr>
      <w:r w:rsidRPr="00435279">
        <w:rPr>
          <w:rFonts w:ascii="Times New Roman" w:eastAsia="Calibri" w:hAnsi="Times New Roman"/>
          <w:noProof w:val="0"/>
          <w:color w:val="auto"/>
          <w:shd w:val="clear" w:color="auto" w:fill="FFFFFF"/>
          <w:lang w:eastAsia="en-US"/>
        </w:rPr>
        <w:t xml:space="preserve">Webb, E. J., Campbell, D. T., Schwartz, R. D., &amp; </w:t>
      </w:r>
      <w:proofErr w:type="spellStart"/>
      <w:r w:rsidRPr="00435279">
        <w:rPr>
          <w:rFonts w:ascii="Times New Roman" w:eastAsia="Calibri" w:hAnsi="Times New Roman"/>
          <w:noProof w:val="0"/>
          <w:color w:val="auto"/>
          <w:shd w:val="clear" w:color="auto" w:fill="FFFFFF"/>
          <w:lang w:eastAsia="en-US"/>
        </w:rPr>
        <w:t>Sechrest</w:t>
      </w:r>
      <w:proofErr w:type="spellEnd"/>
      <w:r w:rsidRPr="00435279">
        <w:rPr>
          <w:rFonts w:ascii="Times New Roman" w:eastAsia="Calibri" w:hAnsi="Times New Roman"/>
          <w:noProof w:val="0"/>
          <w:color w:val="auto"/>
          <w:shd w:val="clear" w:color="auto" w:fill="FFFFFF"/>
          <w:lang w:eastAsia="en-US"/>
        </w:rPr>
        <w:t xml:space="preserve">, L. (1966). </w:t>
      </w:r>
      <w:r w:rsidRPr="00435279">
        <w:rPr>
          <w:rFonts w:ascii="Times New Roman" w:eastAsia="Calibri" w:hAnsi="Times New Roman"/>
          <w:i/>
          <w:iCs/>
          <w:noProof w:val="0"/>
          <w:color w:val="auto"/>
          <w:shd w:val="clear" w:color="auto" w:fill="FFFFFF"/>
          <w:lang w:eastAsia="en-US"/>
        </w:rPr>
        <w:t>Unobtrusive measures: Nonreactive research in the social sciences</w:t>
      </w:r>
      <w:r w:rsidRPr="00435279">
        <w:rPr>
          <w:rFonts w:ascii="Times New Roman" w:eastAsia="Calibri" w:hAnsi="Times New Roman"/>
          <w:noProof w:val="0"/>
          <w:color w:val="auto"/>
          <w:shd w:val="clear" w:color="auto" w:fill="FFFFFF"/>
          <w:lang w:eastAsia="en-US"/>
        </w:rPr>
        <w:t>. Rand McNally.</w:t>
      </w:r>
    </w:p>
    <w:sectPr w:rsidR="0074289F" w:rsidRPr="00435279" w:rsidSect="00EA110A">
      <w:headerReference w:type="even" r:id="rId34"/>
      <w:headerReference w:type="default" r:id="rId35"/>
      <w:headerReference w:type="first" r:id="rId36"/>
      <w:footerReference w:type="first" r:id="rId37"/>
      <w:pgSz w:w="11906" w:h="16838" w:code="9"/>
      <w:pgMar w:top="1911" w:right="1405" w:bottom="1077" w:left="720" w:header="607"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2292" w14:textId="77777777" w:rsidR="00EA110A" w:rsidRDefault="00EA110A" w:rsidP="0074289F">
      <w:pPr>
        <w:spacing w:line="240" w:lineRule="auto"/>
      </w:pPr>
      <w:r>
        <w:separator/>
      </w:r>
    </w:p>
  </w:endnote>
  <w:endnote w:type="continuationSeparator" w:id="0">
    <w:p w14:paraId="015E2A96" w14:textId="77777777" w:rsidR="00EA110A" w:rsidRDefault="00EA110A" w:rsidP="00742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07F2" w14:textId="77777777" w:rsidR="00E46A57" w:rsidRDefault="00E46A57">
    <w:pPr>
      <w:pBdr>
        <w:top w:val="single" w:sz="4" w:space="0" w:color="000000"/>
      </w:pBdr>
      <w:tabs>
        <w:tab w:val="right" w:pos="8844"/>
      </w:tabs>
      <w:adjustRightInd w:val="0"/>
      <w:snapToGrid w:val="0"/>
      <w:spacing w:before="480" w:line="100" w:lineRule="exact"/>
      <w:jc w:val="left"/>
      <w:rPr>
        <w:i/>
        <w:sz w:val="16"/>
        <w:szCs w:val="16"/>
        <w:lang w:val="fr-CH"/>
      </w:rPr>
    </w:pPr>
  </w:p>
  <w:p w14:paraId="65E58D67" w14:textId="21FE1271" w:rsidR="00E46A57" w:rsidRPr="00372FCD" w:rsidRDefault="00C05B56">
    <w:pPr>
      <w:tabs>
        <w:tab w:val="right" w:pos="10466"/>
      </w:tabs>
      <w:adjustRightInd w:val="0"/>
      <w:snapToGrid w:val="0"/>
      <w:spacing w:line="240" w:lineRule="auto"/>
      <w:rPr>
        <w:sz w:val="16"/>
        <w:szCs w:val="16"/>
        <w:lang w:val="fr-CH"/>
      </w:rPr>
    </w:pPr>
    <w:r w:rsidRPr="00C05B56">
      <w:rPr>
        <w:i/>
        <w:sz w:val="16"/>
        <w:szCs w:val="16"/>
      </w:rPr>
      <w:t>Transnational Academic Journal of Economics</w:t>
    </w:r>
    <w:r w:rsidR="0074289F" w:rsidRPr="004B6803">
      <w:rPr>
        <w:sz w:val="16"/>
        <w:szCs w:val="16"/>
        <w:lang w:val="fr-CH"/>
      </w:rPr>
      <w:tab/>
      <w:t>www</w:t>
    </w:r>
    <w:r w:rsidR="0074289F" w:rsidRPr="00372FCD">
      <w:rPr>
        <w:sz w:val="16"/>
        <w:szCs w:val="16"/>
        <w:lang w:val="fr-CH"/>
      </w:rPr>
      <w:t>.</w:t>
    </w:r>
    <w:r>
      <w:rPr>
        <w:sz w:val="16"/>
        <w:szCs w:val="16"/>
        <w:lang w:val="fr-CH"/>
      </w:rPr>
      <w:t>tacje</w:t>
    </w:r>
    <w:r w:rsidR="0074289F">
      <w:rPr>
        <w:sz w:val="16"/>
        <w:szCs w:val="16"/>
        <w:lang w:val="fr-CH"/>
      </w:rPr>
      <w: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3F03" w14:textId="77777777" w:rsidR="00EA110A" w:rsidRDefault="00EA110A" w:rsidP="0074289F">
      <w:pPr>
        <w:spacing w:line="240" w:lineRule="auto"/>
      </w:pPr>
      <w:r>
        <w:separator/>
      </w:r>
    </w:p>
  </w:footnote>
  <w:footnote w:type="continuationSeparator" w:id="0">
    <w:p w14:paraId="68452042" w14:textId="77777777" w:rsidR="00EA110A" w:rsidRDefault="00EA110A" w:rsidP="0074289F">
      <w:pPr>
        <w:spacing w:line="240" w:lineRule="auto"/>
      </w:pPr>
      <w:r>
        <w:continuationSeparator/>
      </w:r>
    </w:p>
  </w:footnote>
  <w:footnote w:id="1">
    <w:p w14:paraId="4459950C" w14:textId="77777777" w:rsidR="00C84269" w:rsidRPr="00C84269" w:rsidRDefault="00C84269" w:rsidP="00C84269">
      <w:pPr>
        <w:pStyle w:val="DipnotMetni"/>
        <w:rPr>
          <w:rFonts w:cs="Calibri"/>
        </w:rPr>
      </w:pPr>
      <w:r w:rsidRPr="00C84269">
        <w:rPr>
          <w:rStyle w:val="DipnotBavurusu"/>
          <w:rFonts w:cs="Calibri"/>
        </w:rPr>
        <w:footnoteRef/>
      </w:r>
      <w:r w:rsidRPr="00C84269">
        <w:rPr>
          <w:rFonts w:cs="Calibri"/>
        </w:rPr>
        <w:t xml:space="preserve"> A Greenhouse–Geisser adjustment of the degrees of freedom was performed in anticipation of a sphericity assumption violation.</w:t>
      </w:r>
    </w:p>
  </w:footnote>
  <w:footnote w:id="2">
    <w:p w14:paraId="3BB7C028" w14:textId="77777777" w:rsidR="00C84269" w:rsidRPr="006274E0" w:rsidRDefault="00C84269" w:rsidP="00C84269">
      <w:pPr>
        <w:pStyle w:val="DipnotMetni"/>
        <w:rPr>
          <w:rFonts w:ascii="Times New Roman" w:hAnsi="Times New Roman" w:cs="Times New Roman"/>
        </w:rPr>
      </w:pPr>
      <w:r w:rsidRPr="00C84269">
        <w:rPr>
          <w:rStyle w:val="DipnotBavurusu"/>
          <w:rFonts w:cs="Calibri"/>
        </w:rPr>
        <w:footnoteRef/>
      </w:r>
      <w:r w:rsidRPr="00C84269">
        <w:rPr>
          <w:rFonts w:cs="Calibr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D0A8" w14:textId="77777777" w:rsidR="00E46A57" w:rsidRDefault="00E46A57">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1B30" w14:textId="43CEEE15" w:rsidR="00E46A57" w:rsidRDefault="00C05B56">
    <w:pPr>
      <w:tabs>
        <w:tab w:val="right" w:pos="10466"/>
      </w:tabs>
      <w:adjustRightInd w:val="0"/>
      <w:snapToGrid w:val="0"/>
      <w:spacing w:line="240" w:lineRule="auto"/>
      <w:rPr>
        <w:sz w:val="16"/>
      </w:rPr>
    </w:pPr>
    <w:r w:rsidRPr="00C05B56">
      <w:rPr>
        <w:i/>
        <w:sz w:val="16"/>
        <w:szCs w:val="16"/>
      </w:rPr>
      <w:t>Transnational Academic Journal of Economics</w:t>
    </w:r>
    <w:r>
      <w:rPr>
        <w:b/>
        <w:sz w:val="16"/>
      </w:rPr>
      <w:t xml:space="preserve"> </w:t>
    </w:r>
    <w:r w:rsidR="0074289F">
      <w:rPr>
        <w:b/>
        <w:sz w:val="16"/>
      </w:rPr>
      <w:t>2024</w:t>
    </w:r>
    <w:r w:rsidR="0074289F">
      <w:rPr>
        <w:sz w:val="16"/>
      </w:rPr>
      <w:tab/>
    </w:r>
    <w:r w:rsidR="0074289F">
      <w:rPr>
        <w:sz w:val="16"/>
      </w:rPr>
      <w:fldChar w:fldCharType="begin"/>
    </w:r>
    <w:r w:rsidR="0074289F">
      <w:rPr>
        <w:sz w:val="16"/>
      </w:rPr>
      <w:instrText xml:space="preserve"> PAGE   \* MERGEFORMAT </w:instrText>
    </w:r>
    <w:r w:rsidR="0074289F">
      <w:rPr>
        <w:sz w:val="16"/>
      </w:rPr>
      <w:fldChar w:fldCharType="separate"/>
    </w:r>
    <w:r w:rsidR="00C501FF">
      <w:rPr>
        <w:sz w:val="16"/>
      </w:rPr>
      <w:t>9</w:t>
    </w:r>
    <w:r w:rsidR="0074289F">
      <w:rPr>
        <w:sz w:val="16"/>
      </w:rPr>
      <w:fldChar w:fldCharType="end"/>
    </w:r>
    <w:r w:rsidR="0074289F">
      <w:rPr>
        <w:sz w:val="16"/>
      </w:rPr>
      <w:t xml:space="preserve"> of </w:t>
    </w:r>
    <w:r w:rsidR="0074289F">
      <w:rPr>
        <w:sz w:val="16"/>
      </w:rPr>
      <w:fldChar w:fldCharType="begin"/>
    </w:r>
    <w:r w:rsidR="0074289F">
      <w:rPr>
        <w:sz w:val="16"/>
      </w:rPr>
      <w:instrText xml:space="preserve"> NUMPAGES   \* MERGEFORMAT </w:instrText>
    </w:r>
    <w:r w:rsidR="0074289F">
      <w:rPr>
        <w:sz w:val="16"/>
      </w:rPr>
      <w:fldChar w:fldCharType="separate"/>
    </w:r>
    <w:r w:rsidR="00C501FF">
      <w:rPr>
        <w:sz w:val="16"/>
      </w:rPr>
      <w:t>9</w:t>
    </w:r>
    <w:r w:rsidR="0074289F">
      <w:rPr>
        <w:sz w:val="16"/>
      </w:rPr>
      <w:fldChar w:fldCharType="end"/>
    </w:r>
  </w:p>
  <w:p w14:paraId="46F7BD47" w14:textId="77777777" w:rsidR="00E46A57" w:rsidRPr="008C3B47" w:rsidRDefault="00E46A5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B885" w14:textId="057153C0" w:rsidR="00E46A57" w:rsidRPr="00C501FF" w:rsidRDefault="00C501FF" w:rsidP="00C501FF">
    <w:pPr>
      <w:pStyle w:val="stBilgi"/>
    </w:pPr>
    <w:r>
      <w:rPr>
        <w:lang w:val="tr-TR" w:eastAsia="tr-TR"/>
      </w:rPr>
      <w:drawing>
        <wp:inline distT="0" distB="0" distL="0" distR="0" wp14:anchorId="710B1C7A" wp14:editId="3DFB593C">
          <wp:extent cx="6667500" cy="946785"/>
          <wp:effectExtent l="0" t="0" r="0" b="5715"/>
          <wp:docPr id="1" name="Resim 1" descr="https://tacje.net/public/journals/1/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cje.net/public/journals/1/pageHeaderLogoImage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9199" cy="9470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07332">
    <w:abstractNumId w:val="1"/>
  </w:num>
  <w:num w:numId="2" w16cid:durableId="1982618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2798886">
    <w:abstractNumId w:val="0"/>
  </w:num>
  <w:num w:numId="4" w16cid:durableId="996618283">
    <w:abstractNumId w:val="2"/>
  </w:num>
  <w:num w:numId="5" w16cid:durableId="1961456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9F"/>
    <w:rsid w:val="00354200"/>
    <w:rsid w:val="00435279"/>
    <w:rsid w:val="00470D90"/>
    <w:rsid w:val="004C5FD3"/>
    <w:rsid w:val="005C7F7A"/>
    <w:rsid w:val="005F50DB"/>
    <w:rsid w:val="006249E9"/>
    <w:rsid w:val="0074289F"/>
    <w:rsid w:val="009A51F4"/>
    <w:rsid w:val="009A7853"/>
    <w:rsid w:val="00C05B56"/>
    <w:rsid w:val="00C501FF"/>
    <w:rsid w:val="00C53EE9"/>
    <w:rsid w:val="00C84269"/>
    <w:rsid w:val="00E46A57"/>
    <w:rsid w:val="00EA110A"/>
    <w:rsid w:val="00F65602"/>
    <w:rsid w:val="00F94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CED"/>
  <w15:docId w15:val="{A6EE77BA-DD95-B741-B11E-58232C0E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9F"/>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Balk1">
    <w:name w:val="heading 1"/>
    <w:basedOn w:val="Normal"/>
    <w:next w:val="Normal"/>
    <w:link w:val="Balk1Char"/>
    <w:uiPriority w:val="9"/>
    <w:qFormat/>
    <w:rsid w:val="00742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42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4289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4289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4289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4289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289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289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289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28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428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428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428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428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428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28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28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289F"/>
    <w:rPr>
      <w:rFonts w:eastAsiaTheme="majorEastAsia" w:cstheme="majorBidi"/>
      <w:color w:val="272727" w:themeColor="text1" w:themeTint="D8"/>
    </w:rPr>
  </w:style>
  <w:style w:type="paragraph" w:styleId="KonuBal">
    <w:name w:val="Title"/>
    <w:basedOn w:val="Normal"/>
    <w:next w:val="Normal"/>
    <w:link w:val="KonuBalChar"/>
    <w:uiPriority w:val="10"/>
    <w:qFormat/>
    <w:rsid w:val="0074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28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28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28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28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289F"/>
    <w:rPr>
      <w:i/>
      <w:iCs/>
      <w:color w:val="404040" w:themeColor="text1" w:themeTint="BF"/>
    </w:rPr>
  </w:style>
  <w:style w:type="paragraph" w:styleId="ListeParagraf">
    <w:name w:val="List Paragraph"/>
    <w:basedOn w:val="Normal"/>
    <w:uiPriority w:val="34"/>
    <w:qFormat/>
    <w:rsid w:val="0074289F"/>
    <w:pPr>
      <w:ind w:left="720"/>
      <w:contextualSpacing/>
    </w:pPr>
  </w:style>
  <w:style w:type="character" w:styleId="GlVurgulama">
    <w:name w:val="Intense Emphasis"/>
    <w:basedOn w:val="VarsaylanParagrafYazTipi"/>
    <w:uiPriority w:val="21"/>
    <w:qFormat/>
    <w:rsid w:val="0074289F"/>
    <w:rPr>
      <w:i/>
      <w:iCs/>
      <w:color w:val="0F4761" w:themeColor="accent1" w:themeShade="BF"/>
    </w:rPr>
  </w:style>
  <w:style w:type="paragraph" w:styleId="GlAlnt">
    <w:name w:val="Intense Quote"/>
    <w:basedOn w:val="Normal"/>
    <w:next w:val="Normal"/>
    <w:link w:val="GlAlntChar"/>
    <w:uiPriority w:val="30"/>
    <w:qFormat/>
    <w:rsid w:val="00742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4289F"/>
    <w:rPr>
      <w:i/>
      <w:iCs/>
      <w:color w:val="0F4761" w:themeColor="accent1" w:themeShade="BF"/>
    </w:rPr>
  </w:style>
  <w:style w:type="character" w:styleId="GlBavuru">
    <w:name w:val="Intense Reference"/>
    <w:basedOn w:val="VarsaylanParagrafYazTipi"/>
    <w:uiPriority w:val="32"/>
    <w:qFormat/>
    <w:rsid w:val="0074289F"/>
    <w:rPr>
      <w:b/>
      <w:bCs/>
      <w:smallCaps/>
      <w:color w:val="0F4761" w:themeColor="accent1" w:themeShade="BF"/>
      <w:spacing w:val="5"/>
    </w:rPr>
  </w:style>
  <w:style w:type="paragraph" w:customStyle="1" w:styleId="MDPI11articletype">
    <w:name w:val="MDPI_1.1_article_type"/>
    <w:next w:val="Normal"/>
    <w:qFormat/>
    <w:rsid w:val="0074289F"/>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74289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74289F"/>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7428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4289F"/>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74289F"/>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74289F"/>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7428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stBilgi">
    <w:name w:val="header"/>
    <w:basedOn w:val="Normal"/>
    <w:link w:val="stBilgiChar"/>
    <w:uiPriority w:val="99"/>
    <w:rsid w:val="0074289F"/>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basedOn w:val="VarsaylanParagrafYazTipi"/>
    <w:link w:val="stBilgi"/>
    <w:uiPriority w:val="99"/>
    <w:rsid w:val="0074289F"/>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74289F"/>
    <w:pPr>
      <w:ind w:firstLine="0"/>
    </w:pPr>
  </w:style>
  <w:style w:type="paragraph" w:customStyle="1" w:styleId="MDPI31text">
    <w:name w:val="MDPI_3.1_text"/>
    <w:qFormat/>
    <w:rsid w:val="0074289F"/>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74289F"/>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74289F"/>
    <w:pPr>
      <w:numPr>
        <w:numId w:val="4"/>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74289F"/>
    <w:pPr>
      <w:numPr>
        <w:numId w:val="3"/>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74289F"/>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74289F"/>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74289F"/>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74289F"/>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74289F"/>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74289F"/>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74289F"/>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74289F"/>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74289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74289F"/>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74289F"/>
    <w:pPr>
      <w:numPr>
        <w:numId w:val="5"/>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Kpr">
    <w:name w:val="Hyperlink"/>
    <w:uiPriority w:val="99"/>
    <w:rsid w:val="0074289F"/>
    <w:rPr>
      <w:color w:val="0000FF"/>
      <w:u w:val="single"/>
    </w:rPr>
  </w:style>
  <w:style w:type="paragraph" w:customStyle="1" w:styleId="MDPI81theorem">
    <w:name w:val="MDPI_8.1_theorem"/>
    <w:qFormat/>
    <w:rsid w:val="0074289F"/>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74289F"/>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61Citation">
    <w:name w:val="MDPI_6.1_Citation"/>
    <w:qFormat/>
    <w:rsid w:val="0074289F"/>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74289F"/>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74289F"/>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74289F"/>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character" w:styleId="SatrNumaras">
    <w:name w:val="line number"/>
    <w:basedOn w:val="VarsaylanParagrafYazTipi"/>
    <w:uiPriority w:val="99"/>
    <w:semiHidden/>
    <w:unhideWhenUsed/>
    <w:rsid w:val="0074289F"/>
  </w:style>
  <w:style w:type="paragraph" w:styleId="AltBilgi">
    <w:name w:val="footer"/>
    <w:basedOn w:val="Normal"/>
    <w:link w:val="AltBilgiChar"/>
    <w:uiPriority w:val="99"/>
    <w:unhideWhenUsed/>
    <w:rsid w:val="0074289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4289F"/>
    <w:rPr>
      <w:rFonts w:ascii="Palatino Linotype" w:eastAsia="SimSun" w:hAnsi="Palatino Linotype" w:cs="Times New Roman"/>
      <w:noProof/>
      <w:color w:val="000000"/>
      <w:kern w:val="0"/>
      <w:sz w:val="20"/>
      <w:szCs w:val="20"/>
      <w:lang w:val="en-US" w:eastAsia="zh-CN"/>
      <w14:ligatures w14:val="none"/>
    </w:rPr>
  </w:style>
  <w:style w:type="character" w:styleId="zlenenKpr">
    <w:name w:val="FollowedHyperlink"/>
    <w:basedOn w:val="VarsaylanParagrafYazTipi"/>
    <w:uiPriority w:val="99"/>
    <w:semiHidden/>
    <w:unhideWhenUsed/>
    <w:rsid w:val="00C84269"/>
    <w:rPr>
      <w:color w:val="96607D" w:themeColor="followedHyperlink"/>
      <w:u w:val="single"/>
    </w:rPr>
  </w:style>
  <w:style w:type="paragraph" w:styleId="DipnotMetni">
    <w:name w:val="footnote text"/>
    <w:basedOn w:val="Normal"/>
    <w:link w:val="DipnotMetniChar"/>
    <w:uiPriority w:val="99"/>
    <w:semiHidden/>
    <w:unhideWhenUsed/>
    <w:rsid w:val="00C84269"/>
    <w:pPr>
      <w:tabs>
        <w:tab w:val="left" w:pos="3068"/>
      </w:tabs>
      <w:spacing w:line="240" w:lineRule="auto"/>
      <w:ind w:firstLine="720"/>
      <w:jc w:val="left"/>
    </w:pPr>
    <w:rPr>
      <w:rFonts w:ascii="Calibri" w:eastAsia="Calibri" w:hAnsi="Calibri" w:cs="Arial"/>
      <w:noProof w:val="0"/>
      <w:color w:val="auto"/>
      <w:shd w:val="clear" w:color="auto" w:fill="FFFFFF"/>
      <w:lang w:eastAsia="en-US"/>
    </w:rPr>
  </w:style>
  <w:style w:type="character" w:customStyle="1" w:styleId="DipnotMetniChar">
    <w:name w:val="Dipnot Metni Char"/>
    <w:basedOn w:val="VarsaylanParagrafYazTipi"/>
    <w:link w:val="DipnotMetni"/>
    <w:uiPriority w:val="99"/>
    <w:semiHidden/>
    <w:rsid w:val="00C84269"/>
    <w:rPr>
      <w:rFonts w:ascii="Calibri" w:eastAsia="Calibri" w:hAnsi="Calibri" w:cs="Arial"/>
      <w:kern w:val="0"/>
      <w:sz w:val="20"/>
      <w:szCs w:val="20"/>
      <w:lang w:val="en-US"/>
      <w14:ligatures w14:val="none"/>
    </w:rPr>
  </w:style>
  <w:style w:type="character" w:styleId="DipnotBavurusu">
    <w:name w:val="footnote reference"/>
    <w:basedOn w:val="VarsaylanParagrafYazTipi"/>
    <w:uiPriority w:val="99"/>
    <w:semiHidden/>
    <w:unhideWhenUsed/>
    <w:rsid w:val="00C84269"/>
    <w:rPr>
      <w:vertAlign w:val="superscript"/>
    </w:rPr>
  </w:style>
  <w:style w:type="character" w:customStyle="1" w:styleId="zmlenmeyenBahsetme1">
    <w:name w:val="Çözümlenmeyen Bahsetme1"/>
    <w:basedOn w:val="VarsaylanParagrafYazTipi"/>
    <w:uiPriority w:val="99"/>
    <w:semiHidden/>
    <w:unhideWhenUsed/>
    <w:rsid w:val="0035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02938.2013.860950" TargetMode="External"/><Relationship Id="rId18" Type="http://schemas.openxmlformats.org/officeDocument/2006/relationships/hyperlink" Target="https://doi.org/10.1080/02602938.2013.831809" TargetMode="External"/><Relationship Id="rId26" Type="http://schemas.openxmlformats.org/officeDocument/2006/relationships/hyperlink" Target="https://doi.org/10.1080/02602938.2014.890695" TargetMode="External"/><Relationship Id="rId39" Type="http://schemas.openxmlformats.org/officeDocument/2006/relationships/theme" Target="theme/theme1.xml"/><Relationship Id="rId21" Type="http://schemas.openxmlformats.org/officeDocument/2006/relationships/hyperlink" Target="https://doi.org/10.1080/0260293100363239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37/stl0000017" TargetMode="External"/><Relationship Id="rId17" Type="http://schemas.openxmlformats.org/officeDocument/2006/relationships/hyperlink" Target="https://doi.org/10.1017/CBO9780511808098" TargetMode="External"/><Relationship Id="rId25" Type="http://schemas.openxmlformats.org/officeDocument/2006/relationships/hyperlink" Target="https://doi.org/10.1002/au.222" TargetMode="External"/><Relationship Id="rId33" Type="http://schemas.openxmlformats.org/officeDocument/2006/relationships/hyperlink" Target="https://doi.org/10.1080/026029308026183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2602938.2016.1261083" TargetMode="External"/><Relationship Id="rId20" Type="http://schemas.openxmlformats.org/officeDocument/2006/relationships/hyperlink" Target="https://doi.org/10.1007/s10755-016-9368-5" TargetMode="External"/><Relationship Id="rId29" Type="http://schemas.openxmlformats.org/officeDocument/2006/relationships/hyperlink" Target="https://doi.org/10.14293/S2199-1006.1.SOR-EDU.AOFRQA.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stl0000042" TargetMode="External"/><Relationship Id="rId24" Type="http://schemas.openxmlformats.org/officeDocument/2006/relationships/hyperlink" Target="https://doi.org/10.1002/tia2.20004" TargetMode="External"/><Relationship Id="rId32" Type="http://schemas.openxmlformats.org/officeDocument/2006/relationships/hyperlink" Target="https://doi.org/10.1016/j.stueduc.2016.08.007"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02602930410001689171" TargetMode="External"/><Relationship Id="rId23" Type="http://schemas.openxmlformats.org/officeDocument/2006/relationships/hyperlink" Target="https://doi.org/10.1080/02602930701293231" TargetMode="External"/><Relationship Id="rId28" Type="http://schemas.openxmlformats.org/officeDocument/2006/relationships/hyperlink" Target="https://doi.org/10.1080/02602938.2014.956684" TargetMode="External"/><Relationship Id="rId36" Type="http://schemas.openxmlformats.org/officeDocument/2006/relationships/header" Target="header3.xml"/><Relationship Id="rId10" Type="http://schemas.openxmlformats.org/officeDocument/2006/relationships/hyperlink" Target="https://doi.org/10.3200/JECE.37.1.21-37" TargetMode="External"/><Relationship Id="rId19" Type="http://schemas.openxmlformats.org/officeDocument/2006/relationships/hyperlink" Target="https://doi.org/10.1037/stl0000052" TargetMode="External"/><Relationship Id="rId31" Type="http://schemas.openxmlformats.org/officeDocument/2006/relationships/hyperlink" Target="https://doi.org/10.1037/h003132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08832320209599691" TargetMode="External"/><Relationship Id="rId22" Type="http://schemas.openxmlformats.org/officeDocument/2006/relationships/hyperlink" Target="https://doi.org/10.1080/02602930902862875" TargetMode="External"/><Relationship Id="rId27" Type="http://schemas.openxmlformats.org/officeDocument/2006/relationships/hyperlink" Target="https://doi.org/10.3102/0034654313496870" TargetMode="External"/><Relationship Id="rId30" Type="http://schemas.openxmlformats.org/officeDocument/2006/relationships/hyperlink" Target="https://doi.org/10.1080/02602938.2010.545869" TargetMode="External"/><Relationship Id="rId35" Type="http://schemas.openxmlformats.org/officeDocument/2006/relationships/header" Target="header2.xml"/><Relationship Id="rId8" Type="http://schemas.openxmlformats.org/officeDocument/2006/relationships/hyperlink" Target="https://apastyle.apa.org/style-grammar-guidelines"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55B2-8858-445B-8C11-C56F3155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3476</Words>
  <Characters>19817</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dc:creator>
  <cp:keywords/>
  <dc:description/>
  <cp:lastModifiedBy>MACS</cp:lastModifiedBy>
  <cp:revision>9</cp:revision>
  <dcterms:created xsi:type="dcterms:W3CDTF">2024-02-08T23:03:00Z</dcterms:created>
  <dcterms:modified xsi:type="dcterms:W3CDTF">2024-02-29T18:41:00Z</dcterms:modified>
</cp:coreProperties>
</file>